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auto"/>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黑体"/>
          <w:bCs/>
          <w:sz w:val="72"/>
          <w:szCs w:val="72"/>
        </w:rPr>
      </w:pPr>
      <w:r>
        <w:rPr>
          <w:rFonts w:eastAsia="黑体"/>
          <w:bCs/>
          <w:sz w:val="72"/>
          <w:szCs w:val="72"/>
        </w:rPr>
        <w:t>建设项目环境影响报告表</w:t>
      </w:r>
    </w:p>
    <w:p>
      <w:pPr>
        <w:adjustRightInd w:val="0"/>
        <w:snapToGrid w:val="0"/>
        <w:spacing w:before="192" w:beforeLines="80"/>
        <w:jc w:val="center"/>
        <w:rPr>
          <w:rFonts w:eastAsia="楷体"/>
          <w:bCs/>
          <w:sz w:val="48"/>
          <w:szCs w:val="48"/>
        </w:rPr>
      </w:pPr>
      <w:r>
        <w:rPr>
          <w:rFonts w:eastAsia="楷体"/>
          <w:bCs/>
          <w:sz w:val="48"/>
          <w:szCs w:val="48"/>
        </w:rPr>
        <w:t>（污染影响类）</w:t>
      </w:r>
    </w:p>
    <w:p>
      <w:pPr>
        <w:adjustRightInd w:val="0"/>
        <w:snapToGrid w:val="0"/>
        <w:spacing w:line="288" w:lineRule="auto"/>
        <w:jc w:val="center"/>
        <w:rPr>
          <w:rFonts w:eastAsia="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rPr>
          <w:rFonts w:eastAsia="黑体"/>
          <w:sz w:val="36"/>
          <w:szCs w:val="36"/>
          <w:u w:val="single"/>
        </w:rPr>
      </w:pPr>
      <w:r>
        <w:rPr>
          <w:rFonts w:eastAsia="黑体"/>
          <w:sz w:val="36"/>
          <w:szCs w:val="36"/>
        </w:rPr>
        <w:t>项目名称：</w:t>
      </w:r>
      <w:r>
        <w:rPr>
          <w:rFonts w:hint="eastAsia" w:eastAsia="黑体"/>
          <w:spacing w:val="-11"/>
          <w:sz w:val="36"/>
          <w:szCs w:val="36"/>
          <w:u w:val="single"/>
        </w:rPr>
        <w:t>子洲县人民医院分院基础设施建设项目</w:t>
      </w:r>
      <w:r>
        <w:rPr>
          <w:rFonts w:eastAsia="黑体"/>
          <w:sz w:val="36"/>
          <w:szCs w:val="36"/>
          <w:u w:val="single"/>
        </w:rPr>
        <w:t xml:space="preserve">  </w:t>
      </w:r>
      <w:r>
        <w:rPr>
          <w:rFonts w:hint="eastAsia" w:eastAsia="黑体"/>
          <w:sz w:val="36"/>
          <w:szCs w:val="36"/>
          <w:u w:val="single"/>
        </w:rPr>
        <w:t xml:space="preserve"> </w:t>
      </w:r>
      <w:r>
        <w:rPr>
          <w:rFonts w:eastAsia="黑体"/>
          <w:sz w:val="36"/>
          <w:szCs w:val="36"/>
          <w:u w:val="single"/>
        </w:rPr>
        <w:t xml:space="preserve"> </w:t>
      </w:r>
      <w:r>
        <w:rPr>
          <w:rFonts w:hint="eastAsia" w:eastAsia="黑体"/>
          <w:sz w:val="36"/>
          <w:szCs w:val="36"/>
          <w:u w:val="single"/>
        </w:rPr>
        <w:t xml:space="preserve">                         </w:t>
      </w:r>
      <w:r>
        <w:rPr>
          <w:rFonts w:eastAsia="黑体"/>
          <w:sz w:val="36"/>
          <w:szCs w:val="36"/>
          <w:u w:val="single"/>
        </w:rPr>
        <w:t xml:space="preserve">  </w:t>
      </w:r>
    </w:p>
    <w:p>
      <w:pPr>
        <w:adjustRightInd w:val="0"/>
        <w:snapToGrid w:val="0"/>
        <w:spacing w:line="288" w:lineRule="auto"/>
        <w:rPr>
          <w:rFonts w:eastAsia="黑体"/>
          <w:sz w:val="36"/>
          <w:szCs w:val="36"/>
          <w:u w:val="single"/>
        </w:rPr>
      </w:pPr>
      <w:r>
        <w:rPr>
          <w:rFonts w:eastAsia="黑体"/>
          <w:sz w:val="36"/>
          <w:szCs w:val="36"/>
        </w:rPr>
        <w:t>建设单位（盖章）：</w:t>
      </w:r>
      <w:r>
        <w:rPr>
          <w:rFonts w:hint="eastAsia" w:eastAsia="黑体"/>
          <w:sz w:val="36"/>
          <w:szCs w:val="36"/>
          <w:u w:val="single"/>
        </w:rPr>
        <w:t>子洲县卫生健康局</w:t>
      </w:r>
      <w:r>
        <w:rPr>
          <w:rFonts w:eastAsia="黑体"/>
          <w:sz w:val="36"/>
          <w:szCs w:val="36"/>
          <w:u w:val="single"/>
        </w:rPr>
        <w:t xml:space="preserve"> </w:t>
      </w:r>
      <w:r>
        <w:rPr>
          <w:rFonts w:hint="eastAsia" w:eastAsia="黑体"/>
          <w:sz w:val="36"/>
          <w:szCs w:val="36"/>
          <w:u w:val="single"/>
        </w:rPr>
        <w:t xml:space="preserve">            </w:t>
      </w:r>
      <w:r>
        <w:rPr>
          <w:rFonts w:eastAsia="黑体"/>
          <w:sz w:val="36"/>
          <w:szCs w:val="36"/>
          <w:u w:val="single"/>
        </w:rPr>
        <w:t xml:space="preserve">  </w:t>
      </w:r>
    </w:p>
    <w:p>
      <w:pPr>
        <w:adjustRightInd w:val="0"/>
        <w:snapToGrid w:val="0"/>
        <w:spacing w:line="288" w:lineRule="auto"/>
        <w:rPr>
          <w:rFonts w:eastAsia="黑体"/>
          <w:sz w:val="36"/>
          <w:szCs w:val="36"/>
          <w:u w:val="single"/>
        </w:rPr>
      </w:pPr>
      <w:r>
        <w:rPr>
          <w:rFonts w:eastAsia="黑体"/>
          <w:sz w:val="36"/>
          <w:szCs w:val="36"/>
        </w:rPr>
        <w:t>编制日期：</w:t>
      </w:r>
      <w:r>
        <w:rPr>
          <w:rFonts w:eastAsia="黑体"/>
          <w:sz w:val="36"/>
          <w:szCs w:val="36"/>
          <w:u w:val="single"/>
        </w:rPr>
        <w:t xml:space="preserve">            202</w:t>
      </w:r>
      <w:r>
        <w:rPr>
          <w:rFonts w:hint="eastAsia" w:eastAsia="黑体"/>
          <w:sz w:val="36"/>
          <w:szCs w:val="36"/>
          <w:u w:val="single"/>
        </w:rPr>
        <w:t>3</w:t>
      </w:r>
      <w:r>
        <w:rPr>
          <w:rFonts w:eastAsia="黑体"/>
          <w:sz w:val="36"/>
          <w:szCs w:val="36"/>
          <w:u w:val="single"/>
        </w:rPr>
        <w:t xml:space="preserve">年8月                 </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
          <w:sz w:val="36"/>
          <w:szCs w:val="36"/>
        </w:rPr>
      </w:pPr>
      <w:r>
        <w:rPr>
          <w:rFonts w:eastAsia="楷体"/>
          <w:sz w:val="36"/>
          <w:szCs w:val="36"/>
        </w:rPr>
        <w:t>中华人民共和国生态环境部制</w:t>
      </w:r>
    </w:p>
    <w:p>
      <w:pPr>
        <w:adjustRightInd w:val="0"/>
        <w:snapToGrid w:val="0"/>
        <w:spacing w:line="288" w:lineRule="auto"/>
        <w:ind w:firstLine="1040"/>
        <w:rPr>
          <w:rFonts w:eastAsia="黑体"/>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38"/>
        <w:ind w:firstLine="480"/>
      </w:pPr>
    </w:p>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4" w:hRule="atLeast"/>
        </w:trPr>
        <w:tc>
          <w:tcPr>
            <w:tcW w:w="4503" w:type="dxa"/>
            <w:shd w:val="clear" w:color="auto" w:fill="auto"/>
          </w:tcPr>
          <w:p>
            <w:pPr>
              <w:rPr>
                <w:sz w:val="24"/>
              </w:rPr>
            </w:pPr>
            <w:r>
              <w:rPr>
                <w:sz w:val="24"/>
              </w:rPr>
              <w:drawing>
                <wp:anchor distT="0" distB="0" distL="114300" distR="114300" simplePos="0" relativeHeight="251660288" behindDoc="0" locked="0" layoutInCell="1" allowOverlap="1">
                  <wp:simplePos x="0" y="0"/>
                  <wp:positionH relativeFrom="column">
                    <wp:posOffset>57785</wp:posOffset>
                  </wp:positionH>
                  <wp:positionV relativeFrom="paragraph">
                    <wp:posOffset>45720</wp:posOffset>
                  </wp:positionV>
                  <wp:extent cx="2654935" cy="2399030"/>
                  <wp:effectExtent l="0" t="0" r="0" b="1270"/>
                  <wp:wrapNone/>
                  <wp:docPr id="1" name="图片 1" descr="168644662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6446629422"/>
                          <pic:cNvPicPr>
                            <a:picLocks noChangeAspect="1" noChangeArrowheads="1"/>
                          </pic:cNvPicPr>
                        </pic:nvPicPr>
                        <pic:blipFill>
                          <a:blip r:embed="rId8">
                            <a:extLst>
                              <a:ext uri="{28A0092B-C50C-407E-A947-70E740481C1C}">
                                <a14:useLocalDpi xmlns:a14="http://schemas.microsoft.com/office/drawing/2010/main" val="0"/>
                              </a:ext>
                            </a:extLst>
                          </a:blip>
                          <a:srcRect l="11655" r="11655"/>
                          <a:stretch>
                            <a:fillRect/>
                          </a:stretch>
                        </pic:blipFill>
                        <pic:spPr>
                          <a:xfrm>
                            <a:off x="0" y="0"/>
                            <a:ext cx="2654935" cy="2399030"/>
                          </a:xfrm>
                          <a:prstGeom prst="rect">
                            <a:avLst/>
                          </a:prstGeom>
                          <a:noFill/>
                          <a:ln>
                            <a:noFill/>
                          </a:ln>
                        </pic:spPr>
                      </pic:pic>
                    </a:graphicData>
                  </a:graphic>
                </wp:anchor>
              </w:drawing>
            </w:r>
            <w:r>
              <w:rPr>
                <w:rFonts w:hint="eastAsia"/>
                <w:sz w:val="24"/>
              </w:rPr>
              <w:t xml:space="preserve">    </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c>
          <w:tcPr>
            <w:tcW w:w="4394" w:type="dxa"/>
            <w:shd w:val="clear" w:color="auto" w:fill="auto"/>
          </w:tcPr>
          <w:p>
            <w:pPr>
              <w:rPr>
                <w:sz w:val="24"/>
              </w:rPr>
            </w:pPr>
            <w:r>
              <w:rPr>
                <w:sz w:val="24"/>
              </w:rPr>
              <w:drawing>
                <wp:anchor distT="0" distB="0" distL="114300" distR="114300" simplePos="0" relativeHeight="251661312" behindDoc="0" locked="0" layoutInCell="1" allowOverlap="1">
                  <wp:simplePos x="0" y="0"/>
                  <wp:positionH relativeFrom="column">
                    <wp:posOffset>-5715</wp:posOffset>
                  </wp:positionH>
                  <wp:positionV relativeFrom="paragraph">
                    <wp:posOffset>46355</wp:posOffset>
                  </wp:positionV>
                  <wp:extent cx="2684780" cy="2399665"/>
                  <wp:effectExtent l="0" t="0" r="1905" b="1270"/>
                  <wp:wrapNone/>
                  <wp:docPr id="2" name="图片 2" descr="16864467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446704301"/>
                          <pic:cNvPicPr>
                            <a:picLocks noChangeAspect="1" noChangeArrowheads="1"/>
                          </pic:cNvPicPr>
                        </pic:nvPicPr>
                        <pic:blipFill>
                          <a:blip r:embed="rId9">
                            <a:extLst>
                              <a:ext uri="{28A0092B-C50C-407E-A947-70E740481C1C}">
                                <a14:useLocalDpi xmlns:a14="http://schemas.microsoft.com/office/drawing/2010/main" val="0"/>
                              </a:ext>
                            </a:extLst>
                          </a:blip>
                          <a:srcRect r="13590"/>
                          <a:stretch>
                            <a:fillRect/>
                          </a:stretch>
                        </pic:blipFill>
                        <pic:spPr>
                          <a:xfrm>
                            <a:off x="0" y="0"/>
                            <a:ext cx="2684679" cy="2399386"/>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3" w:type="dxa"/>
            <w:shd w:val="clear" w:color="auto" w:fill="auto"/>
          </w:tcPr>
          <w:p>
            <w:pPr>
              <w:jc w:val="center"/>
              <w:rPr>
                <w:sz w:val="24"/>
              </w:rPr>
            </w:pPr>
            <w:r>
              <w:rPr>
                <w:rFonts w:hint="eastAsia"/>
                <w:sz w:val="24"/>
              </w:rPr>
              <w:t>医院进口</w:t>
            </w:r>
          </w:p>
        </w:tc>
        <w:tc>
          <w:tcPr>
            <w:tcW w:w="4394" w:type="dxa"/>
            <w:shd w:val="clear" w:color="auto" w:fill="auto"/>
          </w:tcPr>
          <w:p>
            <w:pPr>
              <w:jc w:val="center"/>
              <w:rPr>
                <w:sz w:val="24"/>
              </w:rPr>
            </w:pPr>
            <w:r>
              <w:rPr>
                <w:rFonts w:hint="eastAsia"/>
                <w:sz w:val="24"/>
              </w:rPr>
              <w:t>医院内部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3" w:type="dxa"/>
            <w:shd w:val="clear" w:color="auto" w:fill="auto"/>
          </w:tcPr>
          <w:p>
            <w:pPr>
              <w:rPr>
                <w:sz w:val="24"/>
              </w:rPr>
            </w:pPr>
            <w:r>
              <w:rPr>
                <w:sz w:val="24"/>
              </w:rPr>
              <w:drawing>
                <wp:anchor distT="0" distB="0" distL="114300" distR="114300" simplePos="0" relativeHeight="251662336" behindDoc="0" locked="0" layoutInCell="1" allowOverlap="1">
                  <wp:simplePos x="0" y="0"/>
                  <wp:positionH relativeFrom="column">
                    <wp:posOffset>-6350</wp:posOffset>
                  </wp:positionH>
                  <wp:positionV relativeFrom="paragraph">
                    <wp:posOffset>104140</wp:posOffset>
                  </wp:positionV>
                  <wp:extent cx="2720975" cy="2238375"/>
                  <wp:effectExtent l="0" t="0" r="3175" b="0"/>
                  <wp:wrapNone/>
                  <wp:docPr id="3" name="图片 3" descr="168644678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6446784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21255" cy="2238243"/>
                          </a:xfrm>
                          <a:prstGeom prst="rect">
                            <a:avLst/>
                          </a:prstGeom>
                          <a:noFill/>
                          <a:ln>
                            <a:noFill/>
                          </a:ln>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c>
          <w:tcPr>
            <w:tcW w:w="4394" w:type="dxa"/>
            <w:shd w:val="clear" w:color="auto" w:fill="auto"/>
          </w:tcPr>
          <w:p>
            <w:pPr>
              <w:rPr>
                <w:sz w:val="24"/>
              </w:rPr>
            </w:pPr>
            <w:r>
              <w:rPr>
                <w:sz w:val="24"/>
              </w:rPr>
              <w:drawing>
                <wp:anchor distT="0" distB="0" distL="114300" distR="114300" simplePos="0" relativeHeight="251664384" behindDoc="0" locked="0" layoutInCell="1" allowOverlap="1">
                  <wp:simplePos x="0" y="0"/>
                  <wp:positionH relativeFrom="column">
                    <wp:posOffset>-5715</wp:posOffset>
                  </wp:positionH>
                  <wp:positionV relativeFrom="paragraph">
                    <wp:posOffset>104140</wp:posOffset>
                  </wp:positionV>
                  <wp:extent cx="2677160" cy="2238375"/>
                  <wp:effectExtent l="0" t="0" r="8890" b="0"/>
                  <wp:wrapNone/>
                  <wp:docPr id="4" name="图片 4" descr="16864471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64471907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77363" cy="2238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jc w:val="center"/>
              <w:rPr>
                <w:sz w:val="24"/>
              </w:rPr>
            </w:pPr>
            <w:r>
              <w:rPr>
                <w:rFonts w:hint="eastAsia"/>
                <w:sz w:val="24"/>
              </w:rPr>
              <w:t>北侧</w:t>
            </w:r>
          </w:p>
        </w:tc>
        <w:tc>
          <w:tcPr>
            <w:tcW w:w="4394" w:type="dxa"/>
            <w:shd w:val="clear" w:color="auto" w:fill="auto"/>
          </w:tcPr>
          <w:p>
            <w:pPr>
              <w:jc w:val="center"/>
              <w:rPr>
                <w:sz w:val="24"/>
              </w:rPr>
            </w:pPr>
            <w:r>
              <w:rPr>
                <w:rFonts w:hint="eastAsia"/>
                <w:sz w:val="24"/>
              </w:rPr>
              <w:t>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jc w:val="center"/>
              <w:rPr>
                <w:sz w:val="24"/>
              </w:rPr>
            </w:pPr>
            <w:r>
              <w:rPr>
                <w:sz w:val="24"/>
              </w:rPr>
              <w:drawing>
                <wp:anchor distT="0" distB="0" distL="114300" distR="114300" simplePos="0" relativeHeight="251663360" behindDoc="0" locked="0" layoutInCell="1" allowOverlap="1">
                  <wp:simplePos x="0" y="0"/>
                  <wp:positionH relativeFrom="column">
                    <wp:posOffset>-6350</wp:posOffset>
                  </wp:positionH>
                  <wp:positionV relativeFrom="paragraph">
                    <wp:posOffset>44450</wp:posOffset>
                  </wp:positionV>
                  <wp:extent cx="2720975" cy="2311400"/>
                  <wp:effectExtent l="0" t="0" r="3175" b="0"/>
                  <wp:wrapNone/>
                  <wp:docPr id="5" name="图片 5" descr="168644684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64468492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21162" cy="2311400"/>
                          </a:xfrm>
                          <a:prstGeom prst="rect">
                            <a:avLst/>
                          </a:prstGeom>
                          <a:noFill/>
                          <a:ln>
                            <a:noFill/>
                          </a:ln>
                        </pic:spPr>
                      </pic:pic>
                    </a:graphicData>
                  </a:graphic>
                </wp:anchor>
              </w:drawing>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tc>
        <w:tc>
          <w:tcPr>
            <w:tcW w:w="4394" w:type="dxa"/>
            <w:shd w:val="clear" w:color="auto" w:fill="auto"/>
          </w:tcPr>
          <w:p>
            <w:pPr>
              <w:rPr>
                <w:sz w:val="24"/>
              </w:rPr>
            </w:pPr>
            <w:r>
              <w:rPr>
                <w:sz w:val="24"/>
              </w:rPr>
              <w:drawing>
                <wp:anchor distT="0" distB="0" distL="114300" distR="114300" simplePos="0" relativeHeight="251665408" behindDoc="0" locked="0" layoutInCell="1" allowOverlap="1">
                  <wp:simplePos x="0" y="0"/>
                  <wp:positionH relativeFrom="column">
                    <wp:posOffset>-5715</wp:posOffset>
                  </wp:positionH>
                  <wp:positionV relativeFrom="paragraph">
                    <wp:posOffset>51435</wp:posOffset>
                  </wp:positionV>
                  <wp:extent cx="2670175" cy="2304415"/>
                  <wp:effectExtent l="0" t="0" r="0" b="1270"/>
                  <wp:wrapNone/>
                  <wp:docPr id="6" name="图片 6" descr="168644724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6447248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70048" cy="2304268"/>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shd w:val="clear" w:color="auto" w:fill="auto"/>
          </w:tcPr>
          <w:p>
            <w:pPr>
              <w:jc w:val="center"/>
              <w:rPr>
                <w:sz w:val="24"/>
              </w:rPr>
            </w:pPr>
            <w:r>
              <w:rPr>
                <w:rFonts w:hint="eastAsia"/>
                <w:sz w:val="24"/>
              </w:rPr>
              <w:t>东侧</w:t>
            </w:r>
          </w:p>
        </w:tc>
        <w:tc>
          <w:tcPr>
            <w:tcW w:w="4394" w:type="dxa"/>
            <w:shd w:val="clear" w:color="auto" w:fill="auto"/>
          </w:tcPr>
          <w:p>
            <w:pPr>
              <w:jc w:val="center"/>
              <w:rPr>
                <w:sz w:val="24"/>
              </w:rPr>
            </w:pPr>
            <w:r>
              <w:rPr>
                <w:rFonts w:hint="eastAsia"/>
                <w:sz w:val="24"/>
              </w:rPr>
              <w:t>南侧</w:t>
            </w:r>
          </w:p>
        </w:tc>
      </w:tr>
    </w:tbl>
    <w:p>
      <w:pPr>
        <w:sectPr>
          <w:pgSz w:w="11906" w:h="16838"/>
          <w:pgMar w:top="1134" w:right="1531" w:bottom="1134" w:left="1531" w:header="851" w:footer="1077" w:gutter="0"/>
          <w:pgNumType w:start="3"/>
          <w:cols w:space="720" w:num="1"/>
          <w:docGrid w:linePitch="312" w:charSpace="0"/>
        </w:sectPr>
      </w:pPr>
    </w:p>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0"/>
        <w:gridCol w:w="2010"/>
        <w:gridCol w:w="2037"/>
        <w:gridCol w:w="29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建设项目名称</w:t>
            </w:r>
          </w:p>
        </w:tc>
        <w:tc>
          <w:tcPr>
            <w:tcW w:w="6950" w:type="dxa"/>
            <w:gridSpan w:val="3"/>
            <w:vAlign w:val="center"/>
          </w:tcPr>
          <w:p>
            <w:pPr>
              <w:adjustRightInd w:val="0"/>
              <w:snapToGrid w:val="0"/>
              <w:jc w:val="center"/>
              <w:rPr>
                <w:sz w:val="24"/>
              </w:rPr>
            </w:pPr>
            <w:r>
              <w:rPr>
                <w:rFonts w:hint="eastAsia"/>
                <w:sz w:val="24"/>
              </w:rPr>
              <w:t>子洲县人民医院分院基础设施建设项目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项目代码</w:t>
            </w:r>
          </w:p>
        </w:tc>
        <w:tc>
          <w:tcPr>
            <w:tcW w:w="6950" w:type="dxa"/>
            <w:gridSpan w:val="3"/>
            <w:vAlign w:val="center"/>
          </w:tcPr>
          <w:p>
            <w:pPr>
              <w:adjustRightInd w:val="0"/>
              <w:snapToGrid w:val="0"/>
              <w:jc w:val="center"/>
              <w:rPr>
                <w:sz w:val="24"/>
              </w:rPr>
            </w:pPr>
            <w:r>
              <w:rPr>
                <w:rFonts w:hint="eastAsia"/>
                <w:sz w:val="24"/>
              </w:rPr>
              <w:t>2209-610831-04-01-241685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建设单位联系人</w:t>
            </w:r>
          </w:p>
        </w:tc>
        <w:tc>
          <w:tcPr>
            <w:tcW w:w="2010" w:type="dxa"/>
            <w:vAlign w:val="center"/>
          </w:tcPr>
          <w:p>
            <w:pPr>
              <w:adjustRightInd w:val="0"/>
              <w:snapToGrid w:val="0"/>
              <w:jc w:val="center"/>
              <w:rPr>
                <w:sz w:val="24"/>
              </w:rPr>
            </w:pPr>
            <w:r>
              <w:rPr>
                <w:rFonts w:hint="eastAsia"/>
                <w:sz w:val="24"/>
              </w:rPr>
              <w:t>姚斌</w:t>
            </w:r>
          </w:p>
        </w:tc>
        <w:tc>
          <w:tcPr>
            <w:tcW w:w="2037" w:type="dxa"/>
            <w:vAlign w:val="center"/>
          </w:tcPr>
          <w:p>
            <w:pPr>
              <w:adjustRightInd w:val="0"/>
              <w:snapToGrid w:val="0"/>
              <w:jc w:val="center"/>
              <w:rPr>
                <w:sz w:val="24"/>
              </w:rPr>
            </w:pPr>
            <w:r>
              <w:rPr>
                <w:sz w:val="24"/>
              </w:rPr>
              <w:t>联系方式</w:t>
            </w:r>
          </w:p>
        </w:tc>
        <w:tc>
          <w:tcPr>
            <w:tcW w:w="2903" w:type="dxa"/>
            <w:vAlign w:val="center"/>
          </w:tcPr>
          <w:p>
            <w:pPr>
              <w:adjustRightInd w:val="0"/>
              <w:snapToGrid w:val="0"/>
              <w:jc w:val="center"/>
              <w:rPr>
                <w:sz w:val="24"/>
              </w:rPr>
            </w:pPr>
            <w:r>
              <w:rPr>
                <w:rFonts w:hint="eastAsia"/>
                <w:sz w:val="24"/>
              </w:rPr>
              <w:t>15291710888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建设地点</w:t>
            </w:r>
          </w:p>
        </w:tc>
        <w:tc>
          <w:tcPr>
            <w:tcW w:w="6950" w:type="dxa"/>
            <w:gridSpan w:val="3"/>
            <w:vAlign w:val="center"/>
          </w:tcPr>
          <w:p>
            <w:pPr>
              <w:adjustRightInd w:val="0"/>
              <w:snapToGrid w:val="0"/>
              <w:jc w:val="center"/>
              <w:rPr>
                <w:sz w:val="24"/>
              </w:rPr>
            </w:pPr>
            <w:r>
              <w:rPr>
                <w:rFonts w:hint="eastAsia"/>
                <w:sz w:val="24"/>
              </w:rPr>
              <w:t>陕西省榆林市子洲县马蹄沟镇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地理坐标</w:t>
            </w:r>
          </w:p>
        </w:tc>
        <w:tc>
          <w:tcPr>
            <w:tcW w:w="6950" w:type="dxa"/>
            <w:gridSpan w:val="3"/>
            <w:vAlign w:val="center"/>
          </w:tcPr>
          <w:p>
            <w:pPr>
              <w:jc w:val="center"/>
              <w:rPr>
                <w:sz w:val="24"/>
              </w:rPr>
            </w:pPr>
            <w:r>
              <w:rPr>
                <w:sz w:val="24"/>
              </w:rPr>
              <w:t>（</w:t>
            </w:r>
            <w:r>
              <w:rPr>
                <w:sz w:val="24"/>
                <w:u w:val="single"/>
              </w:rPr>
              <w:t>E:109</w:t>
            </w:r>
            <w:r>
              <w:rPr>
                <w:sz w:val="24"/>
              </w:rPr>
              <w:t>度</w:t>
            </w:r>
            <w:r>
              <w:rPr>
                <w:rFonts w:hint="eastAsia"/>
                <w:sz w:val="24"/>
                <w:u w:val="single"/>
              </w:rPr>
              <w:t>5</w:t>
            </w:r>
            <w:r>
              <w:rPr>
                <w:sz w:val="24"/>
                <w:u w:val="single"/>
              </w:rPr>
              <w:t>3</w:t>
            </w:r>
            <w:r>
              <w:rPr>
                <w:sz w:val="24"/>
              </w:rPr>
              <w:t>分</w:t>
            </w:r>
            <w:r>
              <w:rPr>
                <w:sz w:val="24"/>
                <w:u w:val="single"/>
              </w:rPr>
              <w:t>33.037</w:t>
            </w:r>
            <w:r>
              <w:rPr>
                <w:sz w:val="24"/>
              </w:rPr>
              <w:t>秒，</w:t>
            </w:r>
            <w:r>
              <w:rPr>
                <w:sz w:val="24"/>
                <w:u w:val="single"/>
              </w:rPr>
              <w:t>N:37</w:t>
            </w:r>
            <w:r>
              <w:rPr>
                <w:sz w:val="24"/>
              </w:rPr>
              <w:t>度</w:t>
            </w:r>
            <w:r>
              <w:rPr>
                <w:sz w:val="24"/>
                <w:u w:val="single"/>
              </w:rPr>
              <w:t>36</w:t>
            </w:r>
            <w:r>
              <w:rPr>
                <w:sz w:val="24"/>
              </w:rPr>
              <w:t>分</w:t>
            </w:r>
            <w:r>
              <w:rPr>
                <w:sz w:val="24"/>
                <w:u w:val="single"/>
              </w:rPr>
              <w:t>7.284</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2010" w:type="dxa"/>
            <w:vAlign w:val="center"/>
          </w:tcPr>
          <w:p>
            <w:pPr>
              <w:adjustRightInd w:val="0"/>
              <w:snapToGrid w:val="0"/>
              <w:jc w:val="center"/>
              <w:rPr>
                <w:sz w:val="24"/>
              </w:rPr>
            </w:pPr>
            <w:r>
              <w:rPr>
                <w:rFonts w:hint="eastAsia"/>
                <w:sz w:val="24"/>
              </w:rPr>
              <w:t>Q841医院</w:t>
            </w:r>
          </w:p>
        </w:tc>
        <w:tc>
          <w:tcPr>
            <w:tcW w:w="2037" w:type="dxa"/>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2903" w:type="dxa"/>
            <w:vAlign w:val="center"/>
          </w:tcPr>
          <w:p>
            <w:pPr>
              <w:adjustRightInd w:val="0"/>
              <w:snapToGrid w:val="0"/>
              <w:jc w:val="center"/>
              <w:rPr>
                <w:sz w:val="24"/>
              </w:rPr>
            </w:pPr>
            <w:r>
              <w:rPr>
                <w:rFonts w:hint="eastAsia"/>
                <w:sz w:val="24"/>
              </w:rPr>
              <w:t>四十九、卫生84中108.医院84</w:t>
            </w:r>
            <w:r>
              <w:rPr>
                <w:sz w:val="24"/>
              </w:rPr>
              <w:t>1</w:t>
            </w:r>
            <w:r>
              <w:rPr>
                <w:rFonts w:hint="eastAsia"/>
                <w:sz w:val="24"/>
              </w:rPr>
              <w:t>中其他（住院床位2</w:t>
            </w:r>
            <w:r>
              <w:rPr>
                <w:sz w:val="24"/>
              </w:rPr>
              <w:t>0</w:t>
            </w:r>
            <w:r>
              <w:rPr>
                <w:rFonts w:hint="eastAsia"/>
                <w:sz w:val="24"/>
              </w:rPr>
              <w:t>张以下的除外）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建设性质</w:t>
            </w:r>
          </w:p>
        </w:tc>
        <w:tc>
          <w:tcPr>
            <w:tcW w:w="2010" w:type="dxa"/>
            <w:vAlign w:val="center"/>
          </w:tcPr>
          <w:p>
            <w:pPr>
              <w:jc w:val="left"/>
              <w:rPr>
                <w:sz w:val="24"/>
              </w:rPr>
            </w:pPr>
            <w:r>
              <w:rPr>
                <w:sz w:val="24"/>
              </w:rPr>
              <w:sym w:font="Wingdings 2" w:char="0052"/>
            </w:r>
            <w:r>
              <w:rPr>
                <w:sz w:val="24"/>
              </w:rPr>
              <w:t>新建（迁建）</w:t>
            </w:r>
          </w:p>
          <w:p>
            <w:pPr>
              <w:jc w:val="left"/>
              <w:rPr>
                <w:sz w:val="24"/>
              </w:rPr>
            </w:pPr>
            <w:r>
              <w:rPr>
                <w:sz w:val="24"/>
              </w:rPr>
              <w:sym w:font="Wingdings 2" w:char="00A3"/>
            </w:r>
            <w:r>
              <w:rPr>
                <w:sz w:val="24"/>
              </w:rPr>
              <w:t>改建</w:t>
            </w:r>
          </w:p>
          <w:p>
            <w:pPr>
              <w:jc w:val="left"/>
              <w:rPr>
                <w:sz w:val="24"/>
              </w:rPr>
            </w:pPr>
            <w:r>
              <w:rPr>
                <w:sz w:val="24"/>
              </w:rPr>
              <w:sym w:font="Wingdings 2" w:char="00A3"/>
            </w:r>
            <w:r>
              <w:rPr>
                <w:sz w:val="24"/>
              </w:rPr>
              <w:t>扩建</w:t>
            </w:r>
          </w:p>
          <w:p>
            <w:pPr>
              <w:jc w:val="left"/>
              <w:rPr>
                <w:sz w:val="24"/>
              </w:rPr>
            </w:pPr>
            <w:r>
              <w:rPr>
                <w:sz w:val="24"/>
              </w:rPr>
              <w:sym w:font="Wingdings 2" w:char="00A3"/>
            </w:r>
            <w:r>
              <w:rPr>
                <w:sz w:val="24"/>
              </w:rPr>
              <w:t>技术改造</w:t>
            </w:r>
          </w:p>
        </w:tc>
        <w:tc>
          <w:tcPr>
            <w:tcW w:w="2037"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903" w:type="dxa"/>
            <w:vAlign w:val="center"/>
          </w:tcPr>
          <w:p>
            <w:pPr>
              <w:jc w:val="left"/>
              <w:rPr>
                <w:sz w:val="24"/>
              </w:rPr>
            </w:pPr>
            <w:r>
              <w:rPr>
                <w:sz w:val="24"/>
              </w:rPr>
              <w:sym w:font="Wingdings 2" w:char="F052"/>
            </w:r>
            <w:r>
              <w:rPr>
                <w:sz w:val="24"/>
              </w:rPr>
              <w:t>首次申报项目</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超五年重新审核项目</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010" w:type="dxa"/>
            <w:vAlign w:val="center"/>
          </w:tcPr>
          <w:p>
            <w:pPr>
              <w:adjustRightInd w:val="0"/>
              <w:snapToGrid w:val="0"/>
              <w:jc w:val="center"/>
              <w:rPr>
                <w:sz w:val="24"/>
              </w:rPr>
            </w:pPr>
            <w:r>
              <w:rPr>
                <w:rFonts w:hint="eastAsia"/>
                <w:sz w:val="24"/>
              </w:rPr>
              <w:t>子洲县发展改革和科技局</w:t>
            </w:r>
          </w:p>
        </w:tc>
        <w:tc>
          <w:tcPr>
            <w:tcW w:w="2037"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903" w:type="dxa"/>
            <w:vAlign w:val="center"/>
          </w:tcPr>
          <w:p>
            <w:pPr>
              <w:adjustRightInd w:val="0"/>
              <w:snapToGrid w:val="0"/>
              <w:jc w:val="center"/>
              <w:rPr>
                <w:sz w:val="24"/>
              </w:rPr>
            </w:pPr>
            <w:r>
              <w:rPr>
                <w:rFonts w:hint="eastAsia"/>
                <w:sz w:val="24"/>
              </w:rPr>
              <w:t>子政发改科发[</w:t>
            </w:r>
            <w:r>
              <w:rPr>
                <w:sz w:val="24"/>
              </w:rPr>
              <w:t>2022]630</w:t>
            </w:r>
            <w:r>
              <w:rPr>
                <w:rFonts w:hint="eastAsia"/>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总投资（万元）</w:t>
            </w:r>
          </w:p>
        </w:tc>
        <w:tc>
          <w:tcPr>
            <w:tcW w:w="2010" w:type="dxa"/>
            <w:vAlign w:val="center"/>
          </w:tcPr>
          <w:p>
            <w:pPr>
              <w:adjustRightInd w:val="0"/>
              <w:snapToGrid w:val="0"/>
              <w:jc w:val="center"/>
              <w:rPr>
                <w:sz w:val="24"/>
              </w:rPr>
            </w:pPr>
            <w:r>
              <w:rPr>
                <w:rFonts w:hint="eastAsia"/>
                <w:sz w:val="24"/>
              </w:rPr>
              <w:t>4957.36</w:t>
            </w:r>
          </w:p>
        </w:tc>
        <w:tc>
          <w:tcPr>
            <w:tcW w:w="2037" w:type="dxa"/>
            <w:tcMar>
              <w:top w:w="16" w:type="dxa"/>
              <w:left w:w="16" w:type="dxa"/>
              <w:right w:w="16" w:type="dxa"/>
            </w:tcMar>
            <w:vAlign w:val="center"/>
          </w:tcPr>
          <w:p>
            <w:pPr>
              <w:adjustRightInd w:val="0"/>
              <w:snapToGrid w:val="0"/>
              <w:jc w:val="center"/>
              <w:rPr>
                <w:sz w:val="24"/>
              </w:rPr>
            </w:pPr>
            <w:r>
              <w:rPr>
                <w:sz w:val="24"/>
              </w:rPr>
              <w:t>环保投资（万元）</w:t>
            </w:r>
          </w:p>
        </w:tc>
        <w:tc>
          <w:tcPr>
            <w:tcW w:w="2903" w:type="dxa"/>
            <w:vAlign w:val="center"/>
          </w:tcPr>
          <w:p>
            <w:pPr>
              <w:adjustRightInd w:val="0"/>
              <w:snapToGrid w:val="0"/>
              <w:jc w:val="center"/>
              <w:rPr>
                <w:sz w:val="24"/>
              </w:rPr>
            </w:pPr>
            <w:r>
              <w:rPr>
                <w:sz w:val="24"/>
              </w:rPr>
              <w:t>86.2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环保投资占比（%）</w:t>
            </w:r>
          </w:p>
        </w:tc>
        <w:tc>
          <w:tcPr>
            <w:tcW w:w="2010" w:type="dxa"/>
            <w:vAlign w:val="center"/>
          </w:tcPr>
          <w:p>
            <w:pPr>
              <w:adjustRightInd w:val="0"/>
              <w:snapToGrid w:val="0"/>
              <w:jc w:val="center"/>
              <w:rPr>
                <w:sz w:val="24"/>
              </w:rPr>
            </w:pPr>
            <w:r>
              <w:rPr>
                <w:sz w:val="24"/>
              </w:rPr>
              <w:t>1.74</w:t>
            </w:r>
          </w:p>
        </w:tc>
        <w:tc>
          <w:tcPr>
            <w:tcW w:w="2037" w:type="dxa"/>
            <w:tcMar>
              <w:top w:w="16" w:type="dxa"/>
              <w:left w:w="16" w:type="dxa"/>
              <w:right w:w="16" w:type="dxa"/>
            </w:tcMar>
            <w:vAlign w:val="center"/>
          </w:tcPr>
          <w:p>
            <w:pPr>
              <w:adjustRightInd w:val="0"/>
              <w:snapToGrid w:val="0"/>
              <w:jc w:val="center"/>
              <w:rPr>
                <w:sz w:val="24"/>
              </w:rPr>
            </w:pPr>
            <w:r>
              <w:rPr>
                <w:sz w:val="24"/>
              </w:rPr>
              <w:t>施工工期</w:t>
            </w:r>
          </w:p>
        </w:tc>
        <w:tc>
          <w:tcPr>
            <w:tcW w:w="2903" w:type="dxa"/>
            <w:vAlign w:val="center"/>
          </w:tcPr>
          <w:p>
            <w:pPr>
              <w:adjustRightInd w:val="0"/>
              <w:snapToGrid w:val="0"/>
              <w:jc w:val="center"/>
              <w:rPr>
                <w:sz w:val="24"/>
              </w:rPr>
            </w:pPr>
            <w:r>
              <w:rPr>
                <w:rFonts w:hint="eastAsia"/>
                <w:sz w:val="24"/>
              </w:rPr>
              <w:t>1</w:t>
            </w:r>
            <w:r>
              <w:rPr>
                <w:sz w:val="24"/>
              </w:rPr>
              <w:t>2</w:t>
            </w:r>
            <w:r>
              <w:rPr>
                <w:rFonts w:hint="eastAsia"/>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920" w:type="dxa"/>
            <w:tcMar>
              <w:top w:w="16" w:type="dxa"/>
              <w:left w:w="16" w:type="dxa"/>
              <w:right w:w="16" w:type="dxa"/>
            </w:tcMar>
            <w:vAlign w:val="center"/>
          </w:tcPr>
          <w:p>
            <w:pPr>
              <w:adjustRightInd w:val="0"/>
              <w:snapToGrid w:val="0"/>
              <w:jc w:val="center"/>
              <w:rPr>
                <w:sz w:val="24"/>
              </w:rPr>
            </w:pPr>
            <w:r>
              <w:rPr>
                <w:sz w:val="24"/>
              </w:rPr>
              <w:t>是否开工建设</w:t>
            </w:r>
          </w:p>
        </w:tc>
        <w:tc>
          <w:tcPr>
            <w:tcW w:w="2010" w:type="dxa"/>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sym w:font="Wingdings 2" w:char="00A3"/>
            </w:r>
            <w:r>
              <w:rPr>
                <w:sz w:val="24"/>
              </w:rPr>
              <w:t xml:space="preserve">是 </w:t>
            </w:r>
          </w:p>
        </w:tc>
        <w:tc>
          <w:tcPr>
            <w:tcW w:w="2037"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903" w:type="dxa"/>
            <w:vAlign w:val="center"/>
          </w:tcPr>
          <w:p>
            <w:pPr>
              <w:adjustRightInd w:val="0"/>
              <w:snapToGrid w:val="0"/>
              <w:jc w:val="center"/>
              <w:rPr>
                <w:sz w:val="24"/>
              </w:rPr>
            </w:pPr>
            <w:r>
              <w:rPr>
                <w:rFonts w:hint="eastAsia"/>
                <w:sz w:val="24"/>
              </w:rPr>
              <w:t>9323.144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920" w:type="dxa"/>
            <w:vAlign w:val="center"/>
          </w:tcPr>
          <w:p>
            <w:pPr>
              <w:autoSpaceDE w:val="0"/>
              <w:autoSpaceDN w:val="0"/>
              <w:adjustRightInd w:val="0"/>
              <w:snapToGrid w:val="0"/>
              <w:jc w:val="center"/>
              <w:rPr>
                <w:kern w:val="0"/>
                <w:sz w:val="24"/>
              </w:rPr>
            </w:pPr>
            <w:r>
              <w:rPr>
                <w:kern w:val="0"/>
                <w:sz w:val="24"/>
              </w:rPr>
              <w:t>专项评价</w:t>
            </w:r>
          </w:p>
          <w:p>
            <w:pPr>
              <w:autoSpaceDE w:val="0"/>
              <w:autoSpaceDN w:val="0"/>
              <w:adjustRightInd w:val="0"/>
              <w:snapToGrid w:val="0"/>
              <w:jc w:val="center"/>
              <w:rPr>
                <w:kern w:val="0"/>
                <w:sz w:val="24"/>
              </w:rPr>
            </w:pPr>
            <w:r>
              <w:rPr>
                <w:kern w:val="0"/>
                <w:sz w:val="24"/>
              </w:rPr>
              <w:t>设置情况</w:t>
            </w:r>
          </w:p>
        </w:tc>
        <w:tc>
          <w:tcPr>
            <w:tcW w:w="6950"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920" w:type="dxa"/>
            <w:vAlign w:val="center"/>
          </w:tcPr>
          <w:p>
            <w:pPr>
              <w:autoSpaceDE w:val="0"/>
              <w:autoSpaceDN w:val="0"/>
              <w:adjustRightInd w:val="0"/>
              <w:snapToGrid w:val="0"/>
              <w:jc w:val="center"/>
              <w:rPr>
                <w:kern w:val="0"/>
                <w:sz w:val="24"/>
              </w:rPr>
            </w:pPr>
            <w:r>
              <w:rPr>
                <w:sz w:val="24"/>
              </w:rPr>
              <w:t>规划情况</w:t>
            </w:r>
          </w:p>
        </w:tc>
        <w:tc>
          <w:tcPr>
            <w:tcW w:w="6950" w:type="dxa"/>
            <w:gridSpan w:val="3"/>
            <w:vAlign w:val="center"/>
          </w:tcPr>
          <w:p>
            <w:pPr>
              <w:autoSpaceDE w:val="0"/>
              <w:autoSpaceDN w:val="0"/>
              <w:adjustRightInd w:val="0"/>
              <w:snapToGrid w:val="0"/>
              <w:jc w:val="center"/>
              <w:rPr>
                <w:kern w:val="0"/>
                <w:sz w:val="24"/>
              </w:rPr>
            </w:pPr>
            <w:r>
              <w:rPr>
                <w:rFonts w:hint="eastAsia" w:ascii="宋体" w:hAnsi="宋体"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920"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6950" w:type="dxa"/>
            <w:gridSpan w:val="3"/>
            <w:vAlign w:val="center"/>
          </w:tcPr>
          <w:p>
            <w:pPr>
              <w:autoSpaceDE w:val="0"/>
              <w:autoSpaceDN w:val="0"/>
              <w:adjustRightInd w:val="0"/>
              <w:snapToGrid w:val="0"/>
              <w:jc w:val="center"/>
              <w:rPr>
                <w:rFonts w:ascii="宋体" w:hAnsi="宋体" w:cs="宋体"/>
                <w:sz w:val="24"/>
              </w:rPr>
            </w:pPr>
            <w:r>
              <w:rPr>
                <w:rFonts w:hint="eastAsia" w:ascii="宋体" w:hAnsi="宋体"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20" w:type="dxa"/>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6950" w:type="dxa"/>
            <w:gridSpan w:val="3"/>
            <w:vAlign w:val="center"/>
          </w:tcPr>
          <w:p>
            <w:pPr>
              <w:pStyle w:val="40"/>
              <w:jc w:val="center"/>
              <w:rPr>
                <w:rFonts w:ascii="宋体" w:hAnsi="宋体" w:eastAsia="宋体" w:cs="宋体"/>
                <w:color w:val="auto"/>
              </w:rPr>
            </w:pPr>
            <w:r>
              <w:rPr>
                <w:rFonts w:hint="eastAsia" w:ascii="宋体" w:hAnsi="宋体" w:eastAsia="宋体" w:cs="宋体"/>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20" w:type="dxa"/>
            <w:vAlign w:val="center"/>
          </w:tcPr>
          <w:p>
            <w:pPr>
              <w:autoSpaceDE w:val="0"/>
              <w:autoSpaceDN w:val="0"/>
              <w:adjustRightInd w:val="0"/>
              <w:snapToGrid w:val="0"/>
              <w:jc w:val="center"/>
              <w:rPr>
                <w:kern w:val="0"/>
                <w:sz w:val="24"/>
              </w:rPr>
            </w:pPr>
            <w:r>
              <w:rPr>
                <w:kern w:val="0"/>
                <w:sz w:val="24"/>
              </w:rPr>
              <w:t>其他符合性分析</w:t>
            </w:r>
          </w:p>
        </w:tc>
        <w:tc>
          <w:tcPr>
            <w:tcW w:w="6950" w:type="dxa"/>
            <w:gridSpan w:val="3"/>
            <w:vAlign w:val="center"/>
          </w:tcPr>
          <w:p>
            <w:pPr>
              <w:spacing w:line="360" w:lineRule="auto"/>
              <w:ind w:firstLine="480" w:firstLineChars="200"/>
              <w:contextualSpacing/>
              <w:rPr>
                <w:kern w:val="0"/>
                <w:sz w:val="24"/>
              </w:rPr>
            </w:pPr>
            <w:r>
              <w:rPr>
                <w:kern w:val="0"/>
                <w:sz w:val="24"/>
              </w:rPr>
              <w:t>1、产业政策符合性分析</w:t>
            </w:r>
          </w:p>
          <w:p>
            <w:pPr>
              <w:spacing w:line="360" w:lineRule="auto"/>
              <w:ind w:firstLine="480" w:firstLineChars="200"/>
              <w:contextualSpacing/>
              <w:rPr>
                <w:sz w:val="24"/>
              </w:rPr>
            </w:pPr>
            <w:r>
              <w:rPr>
                <w:kern w:val="0"/>
                <w:sz w:val="24"/>
              </w:rPr>
              <w:t>本项目</w:t>
            </w:r>
            <w:r>
              <w:rPr>
                <w:rFonts w:hint="eastAsia"/>
                <w:kern w:val="0"/>
                <w:sz w:val="24"/>
              </w:rPr>
              <w:t>为医院，</w:t>
            </w:r>
            <w:r>
              <w:rPr>
                <w:rFonts w:hint="eastAsia"/>
                <w:sz w:val="24"/>
              </w:rPr>
              <w:t>属于</w:t>
            </w:r>
            <w:r>
              <w:rPr>
                <w:kern w:val="0"/>
                <w:sz w:val="24"/>
              </w:rPr>
              <w:t>《产业结构调整指导目录（2019本）》</w:t>
            </w:r>
            <w:r>
              <w:rPr>
                <w:sz w:val="24"/>
              </w:rPr>
              <w:t>“鼓励类”中的“三十</w:t>
            </w:r>
            <w:r>
              <w:rPr>
                <w:rFonts w:hint="eastAsia"/>
                <w:sz w:val="24"/>
              </w:rPr>
              <w:t>七</w:t>
            </w:r>
            <w:r>
              <w:rPr>
                <w:sz w:val="24"/>
              </w:rPr>
              <w:t>、</w:t>
            </w:r>
            <w:r>
              <w:rPr>
                <w:rFonts w:hint="eastAsia"/>
                <w:sz w:val="24"/>
              </w:rPr>
              <w:t>卫生健康</w:t>
            </w:r>
            <w:r>
              <w:rPr>
                <w:sz w:val="24"/>
              </w:rPr>
              <w:t>”中“5 医疗卫生服务设施建设”，</w:t>
            </w:r>
            <w:r>
              <w:rPr>
                <w:rFonts w:hint="eastAsia"/>
                <w:sz w:val="24"/>
              </w:rPr>
              <w:t>且属于中华人民共和国国家发展和改革委员会第40号令《西部地区鼓励类产业目录（2020年本）》中“（六）陕西省14、医疗机构经营”，</w:t>
            </w:r>
            <w:r>
              <w:rPr>
                <w:sz w:val="24"/>
              </w:rPr>
              <w:t>符合国家产业政策。</w:t>
            </w:r>
          </w:p>
          <w:p>
            <w:pPr>
              <w:spacing w:line="360" w:lineRule="auto"/>
              <w:ind w:firstLine="480" w:firstLineChars="200"/>
              <w:contextualSpacing/>
              <w:rPr>
                <w:kern w:val="0"/>
                <w:sz w:val="24"/>
              </w:rPr>
            </w:pPr>
            <w:r>
              <w:rPr>
                <w:sz w:val="24"/>
              </w:rPr>
              <w:t>根据中华人民共和国发展和改革委员会、商务部发布的《市场准入负面清单》（202</w:t>
            </w:r>
            <w:r>
              <w:rPr>
                <w:rFonts w:hint="eastAsia"/>
                <w:sz w:val="24"/>
              </w:rPr>
              <w:t>2</w:t>
            </w:r>
            <w:r>
              <w:rPr>
                <w:sz w:val="24"/>
              </w:rPr>
              <w:t>年版），本项目不属于负面清单中规定的行业</w:t>
            </w:r>
            <w:r>
              <w:rPr>
                <w:rFonts w:hint="eastAsia"/>
                <w:kern w:val="0"/>
                <w:sz w:val="24"/>
              </w:rPr>
              <w:t>；且项目已取得子洲县发展改革和科技局《关于县卫建局子洲县人民医院分院基础设施建设项目可行性研究报告的批复》（子政发改科发[</w:t>
            </w:r>
            <w:r>
              <w:rPr>
                <w:kern w:val="0"/>
                <w:sz w:val="24"/>
              </w:rPr>
              <w:t>2022]630</w:t>
            </w:r>
            <w:r>
              <w:rPr>
                <w:rFonts w:hint="eastAsia"/>
                <w:kern w:val="0"/>
                <w:sz w:val="24"/>
              </w:rPr>
              <w:t>号，详见附件2），项目符合地方产业政策要求。</w:t>
            </w:r>
          </w:p>
          <w:p>
            <w:pPr>
              <w:spacing w:line="360" w:lineRule="auto"/>
              <w:ind w:firstLine="480" w:firstLineChars="200"/>
              <w:contextualSpacing/>
              <w:rPr>
                <w:kern w:val="0"/>
                <w:sz w:val="24"/>
              </w:rPr>
            </w:pPr>
            <w:r>
              <w:rPr>
                <w:rFonts w:hint="eastAsia"/>
                <w:kern w:val="0"/>
                <w:sz w:val="24"/>
              </w:rPr>
              <w:t>2</w:t>
            </w:r>
            <w:r>
              <w:rPr>
                <w:kern w:val="0"/>
                <w:sz w:val="24"/>
              </w:rPr>
              <w:t>、</w:t>
            </w:r>
            <w:r>
              <w:rPr>
                <w:rFonts w:hint="eastAsia"/>
                <w:kern w:val="0"/>
                <w:sz w:val="24"/>
              </w:rPr>
              <w:t>其他相关规划、政策</w:t>
            </w:r>
            <w:r>
              <w:rPr>
                <w:kern w:val="0"/>
                <w:sz w:val="24"/>
              </w:rPr>
              <w:t>符合性分析</w:t>
            </w:r>
          </w:p>
          <w:p>
            <w:pPr>
              <w:spacing w:line="360" w:lineRule="auto"/>
              <w:ind w:firstLine="480" w:firstLineChars="200"/>
              <w:contextualSpacing/>
              <w:rPr>
                <w:kern w:val="0"/>
                <w:sz w:val="24"/>
              </w:rPr>
            </w:pPr>
            <w:r>
              <w:rPr>
                <w:kern w:val="0"/>
                <w:sz w:val="24"/>
              </w:rPr>
              <w:t>本项目与</w:t>
            </w:r>
            <w:r>
              <w:rPr>
                <w:rFonts w:hint="eastAsia"/>
                <w:kern w:val="0"/>
                <w:sz w:val="24"/>
              </w:rPr>
              <w:t>其他相关规划、政策的</w:t>
            </w:r>
            <w:r>
              <w:rPr>
                <w:kern w:val="0"/>
                <w:sz w:val="24"/>
              </w:rPr>
              <w:t>符合性分析见表1-1。</w:t>
            </w:r>
          </w:p>
          <w:p>
            <w:pPr>
              <w:autoSpaceDE w:val="0"/>
              <w:autoSpaceDN w:val="0"/>
              <w:adjustRightInd w:val="0"/>
              <w:snapToGrid w:val="0"/>
              <w:jc w:val="center"/>
              <w:rPr>
                <w:b/>
                <w:bCs/>
                <w:szCs w:val="21"/>
              </w:rPr>
            </w:pPr>
            <w:r>
              <w:rPr>
                <w:b/>
                <w:bCs/>
                <w:szCs w:val="21"/>
              </w:rPr>
              <w:t>表1-1   项目与相关规划、政策符合性分析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937"/>
              <w:gridCol w:w="1229"/>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3878" w:type="dxa"/>
                  <w:gridSpan w:val="2"/>
                  <w:shd w:val="clear" w:color="auto" w:fill="auto"/>
                  <w:vAlign w:val="center"/>
                </w:tcPr>
                <w:p>
                  <w:pPr>
                    <w:contextualSpacing/>
                    <w:jc w:val="center"/>
                    <w:rPr>
                      <w:kern w:val="0"/>
                      <w:sz w:val="24"/>
                    </w:rPr>
                  </w:pPr>
                  <w:r>
                    <w:rPr>
                      <w:rFonts w:hint="eastAsia"/>
                      <w:kern w:val="0"/>
                      <w:sz w:val="24"/>
                    </w:rPr>
                    <w:t>相关要求</w:t>
                  </w:r>
                </w:p>
              </w:tc>
              <w:tc>
                <w:tcPr>
                  <w:tcW w:w="1231" w:type="dxa"/>
                  <w:shd w:val="clear" w:color="auto" w:fill="auto"/>
                  <w:vAlign w:val="center"/>
                </w:tcPr>
                <w:p>
                  <w:pPr>
                    <w:contextualSpacing/>
                    <w:jc w:val="center"/>
                    <w:rPr>
                      <w:kern w:val="0"/>
                      <w:sz w:val="24"/>
                    </w:rPr>
                  </w:pPr>
                  <w:r>
                    <w:rPr>
                      <w:rFonts w:hint="eastAsia"/>
                      <w:kern w:val="0"/>
                      <w:sz w:val="24"/>
                    </w:rPr>
                    <w:t>本项目情况</w:t>
                  </w:r>
                </w:p>
              </w:tc>
              <w:tc>
                <w:tcPr>
                  <w:tcW w:w="1615" w:type="dxa"/>
                  <w:shd w:val="clear" w:color="auto" w:fill="auto"/>
                  <w:vAlign w:val="center"/>
                </w:tcPr>
                <w:p>
                  <w:pPr>
                    <w:contextualSpacing/>
                    <w:jc w:val="center"/>
                    <w:rPr>
                      <w:kern w:val="0"/>
                      <w:sz w:val="24"/>
                    </w:rPr>
                  </w:pPr>
                  <w:r>
                    <w:rPr>
                      <w:rFonts w:hint="eastAsia"/>
                      <w:kern w:val="0"/>
                      <w:sz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rPr>
                      <w:kern w:val="0"/>
                      <w:sz w:val="24"/>
                    </w:rPr>
                  </w:pPr>
                  <w:r>
                    <w:rPr>
                      <w:rFonts w:hint="eastAsia"/>
                      <w:szCs w:val="21"/>
                    </w:rPr>
                    <w:t>《陕西省国民经济和社会发展第十四个五年规划和二〇三五年远景目标纲要》</w:t>
                  </w:r>
                </w:p>
              </w:tc>
              <w:tc>
                <w:tcPr>
                  <w:tcW w:w="2927" w:type="dxa"/>
                  <w:shd w:val="clear" w:color="auto" w:fill="auto"/>
                  <w:vAlign w:val="center"/>
                </w:tcPr>
                <w:p>
                  <w:pPr>
                    <w:contextualSpacing/>
                    <w:jc w:val="center"/>
                    <w:rPr>
                      <w:kern w:val="0"/>
                      <w:sz w:val="24"/>
                    </w:rPr>
                  </w:pPr>
                  <w:r>
                    <w:rPr>
                      <w:rFonts w:hint="eastAsia"/>
                      <w:szCs w:val="21"/>
                    </w:rPr>
                    <w:t>构建高质量医疗卫生服务体系。争创国家区域医疗中心，开展省级区域医疗中心建设，建立健全临床专科、重点学科、短缺资料学科发展体系，建设胸痛中心、卒中中心、创伤中心、肿瘤综合治疗中心、慢性病管理中心，完善急诊急救网络。推进县级医院综合能力提升。深化医药卫生体制改革，完善分级诊疗制度，推进紧密型医联体建设，做实做细家庭医生签约服务。发展“互联网</w:t>
                  </w:r>
                  <w:r>
                    <w:rPr>
                      <w:szCs w:val="21"/>
                    </w:rPr>
                    <w:t>+</w:t>
                  </w:r>
                  <w:r>
                    <w:rPr>
                      <w:rFonts w:hint="eastAsia"/>
                      <w:szCs w:val="21"/>
                    </w:rPr>
                    <w:t>医疗”，推广远程医疗服务。完善现代医院管理制度，健全基本药物制度。</w:t>
                  </w:r>
                </w:p>
              </w:tc>
              <w:tc>
                <w:tcPr>
                  <w:tcW w:w="1231" w:type="dxa"/>
                  <w:vMerge w:val="restart"/>
                  <w:shd w:val="clear" w:color="auto" w:fill="auto"/>
                  <w:vAlign w:val="center"/>
                </w:tcPr>
                <w:p>
                  <w:pPr>
                    <w:contextualSpacing/>
                    <w:jc w:val="center"/>
                    <w:rPr>
                      <w:kern w:val="0"/>
                      <w:sz w:val="24"/>
                    </w:rPr>
                  </w:pPr>
                  <w:r>
                    <w:rPr>
                      <w:rFonts w:hint="eastAsia"/>
                      <w:szCs w:val="21"/>
                    </w:rPr>
                    <w:t>本项目属于公共医疗卫生服务项目，其建设有利于促进子洲县医疗卫生事业发展，满足人民群众日益增长的医疗卫生服务需求。</w:t>
                  </w:r>
                </w:p>
              </w:tc>
              <w:tc>
                <w:tcPr>
                  <w:tcW w:w="1615" w:type="dxa"/>
                  <w:shd w:val="clear" w:color="auto" w:fill="auto"/>
                  <w:vAlign w:val="center"/>
                </w:tcPr>
                <w:p>
                  <w:pPr>
                    <w:contextualSpacing/>
                    <w:jc w:val="center"/>
                    <w:rPr>
                      <w:kern w:val="0"/>
                      <w:sz w:val="24"/>
                    </w:rPr>
                  </w:pPr>
                  <w:r>
                    <w:rPr>
                      <w:rFonts w:hint="eastAsia"/>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jc w:val="center"/>
                    <w:rPr>
                      <w:kern w:val="0"/>
                      <w:sz w:val="24"/>
                    </w:rPr>
                  </w:pPr>
                  <w:r>
                    <w:rPr>
                      <w:szCs w:val="21"/>
                    </w:rPr>
                    <w:t>《榆林市国民 经济和社会发 展第十四个五年规划和二Ο三五年远景目标纲要》（榆政发〔2021</w:t>
                  </w:r>
                  <w:r>
                    <w:rPr>
                      <w:rFonts w:hint="eastAsia"/>
                      <w:szCs w:val="21"/>
                    </w:rPr>
                    <w:t>〕</w:t>
                  </w:r>
                  <w:r>
                    <w:rPr>
                      <w:szCs w:val="21"/>
                    </w:rPr>
                    <w:t>12号）</w:t>
                  </w:r>
                </w:p>
              </w:tc>
              <w:tc>
                <w:tcPr>
                  <w:tcW w:w="2927" w:type="dxa"/>
                  <w:shd w:val="clear" w:color="auto" w:fill="auto"/>
                  <w:vAlign w:val="center"/>
                </w:tcPr>
                <w:p>
                  <w:pPr>
                    <w:contextualSpacing/>
                    <w:jc w:val="center"/>
                    <w:rPr>
                      <w:kern w:val="0"/>
                      <w:sz w:val="24"/>
                    </w:rPr>
                  </w:pPr>
                  <w:r>
                    <w:t>促进县城公共服务设施提标扩面。研究县城人口流动趋势，按照常住人口超前规划布局医疗卫生、教育、养老、托育、文体等公共服务设施，“十四五”期间全面解决看病难、上学难、养老和托育滞后、文体设施不足等问题。加快学前教育、义务教育学校建设和标准化改造，重点解决学位不足和大班额问题。落实《榆林市公共卫生体系建设三年行动计划》，强化公共卫生体系建设，推动县乡紧密型医共体全覆盖</w:t>
                  </w:r>
                  <w:r>
                    <w:rPr>
                      <w:rFonts w:hint="eastAsia"/>
                    </w:rPr>
                    <w:t>。</w:t>
                  </w:r>
                </w:p>
              </w:tc>
              <w:tc>
                <w:tcPr>
                  <w:tcW w:w="1231" w:type="dxa"/>
                  <w:vMerge w:val="continue"/>
                  <w:shd w:val="clear" w:color="auto" w:fill="auto"/>
                  <w:vAlign w:val="center"/>
                </w:tcPr>
                <w:p>
                  <w:pPr>
                    <w:contextualSpacing/>
                    <w:jc w:val="center"/>
                    <w:rPr>
                      <w:kern w:val="0"/>
                      <w:sz w:val="24"/>
                    </w:rPr>
                  </w:pPr>
                </w:p>
              </w:tc>
              <w:tc>
                <w:tcPr>
                  <w:tcW w:w="1615" w:type="dxa"/>
                  <w:shd w:val="clear" w:color="auto" w:fill="auto"/>
                  <w:vAlign w:val="center"/>
                </w:tcPr>
                <w:p>
                  <w:pPr>
                    <w:contextualSpacing/>
                    <w:jc w:val="center"/>
                    <w:rPr>
                      <w:kern w:val="0"/>
                      <w:sz w:val="24"/>
                    </w:rPr>
                  </w:pPr>
                  <w:r>
                    <w:rPr>
                      <w:rFonts w:hint="eastAsia"/>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jc w:val="center"/>
                    <w:rPr>
                      <w:kern w:val="0"/>
                      <w:sz w:val="24"/>
                    </w:rPr>
                  </w:pPr>
                  <w:r>
                    <w:rPr>
                      <w:rFonts w:hint="eastAsia"/>
                      <w:szCs w:val="21"/>
                    </w:rPr>
                    <w:t>《陕西省“十四五”生态环境保护规划》（陕政办发〔2021〕25号）</w:t>
                  </w:r>
                </w:p>
              </w:tc>
              <w:tc>
                <w:tcPr>
                  <w:tcW w:w="2927" w:type="dxa"/>
                  <w:shd w:val="clear" w:color="auto" w:fill="auto"/>
                  <w:vAlign w:val="center"/>
                </w:tcPr>
                <w:p>
                  <w:pPr>
                    <w:contextualSpacing/>
                    <w:jc w:val="center"/>
                    <w:rPr>
                      <w:kern w:val="0"/>
                      <w:sz w:val="24"/>
                    </w:rPr>
                  </w:pPr>
                  <w:r>
                    <w:rPr>
                      <w:rFonts w:hint="eastAsia"/>
                      <w:szCs w:val="21"/>
                    </w:rPr>
                    <w:t>加强危险废物医疗废物收集处理处置。各县（市、区）完善医疗废物收集转运处置体系并覆盖农村地区，强化医疗废物处置全过程监管，做到源头分类、规范消毒、应收尽收，逐步实现三级以上医疗机构医疗废物管理信息化。</w:t>
                  </w:r>
                </w:p>
              </w:tc>
              <w:tc>
                <w:tcPr>
                  <w:tcW w:w="1231" w:type="dxa"/>
                  <w:shd w:val="clear" w:color="auto" w:fill="auto"/>
                  <w:vAlign w:val="center"/>
                </w:tcPr>
                <w:p>
                  <w:pPr>
                    <w:contextualSpacing/>
                    <w:jc w:val="center"/>
                    <w:rPr>
                      <w:kern w:val="0"/>
                      <w:sz w:val="24"/>
                    </w:rPr>
                  </w:pPr>
                  <w:r>
                    <w:rPr>
                      <w:rFonts w:hint="eastAsia"/>
                      <w:szCs w:val="21"/>
                    </w:rPr>
                    <w:t>评价要求</w:t>
                  </w:r>
                  <w:r>
                    <w:rPr>
                      <w:szCs w:val="21"/>
                    </w:rPr>
                    <w:t>项目</w:t>
                  </w:r>
                  <w:r>
                    <w:rPr>
                      <w:rFonts w:hint="eastAsia"/>
                      <w:szCs w:val="21"/>
                    </w:rPr>
                    <w:t>产生的医疗废物分类收集、消毒，交由资质单位回收处置</w:t>
                  </w:r>
                  <w:r>
                    <w:rPr>
                      <w:szCs w:val="21"/>
                    </w:rPr>
                    <w:t>。</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jc w:val="center"/>
                    <w:rPr>
                      <w:kern w:val="0"/>
                      <w:sz w:val="24"/>
                    </w:rPr>
                  </w:pPr>
                  <w:r>
                    <w:t>《榆林市2023年生态环境保护三十项攻坚行动方案》的通知（榆办字〔2023〕33号）</w:t>
                  </w:r>
                </w:p>
              </w:tc>
              <w:tc>
                <w:tcPr>
                  <w:tcW w:w="2927" w:type="dxa"/>
                  <w:shd w:val="clear" w:color="auto" w:fill="auto"/>
                  <w:vAlign w:val="center"/>
                </w:tcPr>
                <w:p>
                  <w:pPr>
                    <w:contextualSpacing/>
                    <w:jc w:val="center"/>
                    <w:rPr>
                      <w:kern w:val="0"/>
                      <w:sz w:val="24"/>
                    </w:rPr>
                  </w:pPr>
                  <w:r>
                    <w:t>建筑工地精细化管控行动。榆林中心城区和各县市区城区及周边所有建筑（道路工程、商砼站）施工做到工地周边围挡、物料裸土覆盖、土方开挖（拆迁）湿法作业、路面硬化、出入车辆清洗、渣土车辆密闭运输“六个百分之百”；地基开挖、桩基施工、渣土运输等施工阶段，洒水、覆盖、冲洗等防尘措施持续进行；严格落实车辆出入工地清洗制度，严禁带泥上路，杜绝燃烧木柴、竹胶板及露天焚烧垃圾等；建筑工地场界建设喷淋设施、视频监控、扬尘在线监测系统并联网管理。严格执行“红黄绿” 牌联席管理制度，纳入“黄牌” 的限期整改，纳入“红牌”的依法停工整改，一年内两次纳入“红牌”的取消评选文明工地资格；城市市区施工工地禁 止现场搅拌混凝土和砂浆。3月起，市住建局牵头每月组织 开展一次建筑施工联合执法检查，对产生扬尘污染的工地按职责权属依法查处，对拒不改正的工地责令停工整治</w:t>
                  </w:r>
                  <w:r>
                    <w:rPr>
                      <w:rFonts w:hint="eastAsia"/>
                    </w:rPr>
                    <w:t>。</w:t>
                  </w:r>
                </w:p>
              </w:tc>
              <w:tc>
                <w:tcPr>
                  <w:tcW w:w="1231" w:type="dxa"/>
                  <w:shd w:val="clear" w:color="auto" w:fill="auto"/>
                  <w:vAlign w:val="center"/>
                </w:tcPr>
                <w:p>
                  <w:pPr>
                    <w:contextualSpacing/>
                    <w:jc w:val="center"/>
                    <w:rPr>
                      <w:kern w:val="0"/>
                      <w:sz w:val="24"/>
                    </w:rPr>
                  </w:pPr>
                  <w:r>
                    <w:t>评价要求建设单位</w:t>
                  </w:r>
                  <w:r>
                    <w:rPr>
                      <w:rFonts w:hint="eastAsia"/>
                    </w:rPr>
                    <w:t>施工期</w:t>
                  </w:r>
                  <w:r>
                    <w:t>严格按照方案中各项扬尘控制措施进行施工，做到厂界四周围挡、物料裸土覆盖、土方开挖（拆迁）湿法作业、路面硬化、出入车辆清洗、渣土车辆密闭运输，地基开挖、桩基施工、渣土运输等施工阶段，洒水覆盖、冲洗</w:t>
                  </w:r>
                  <w:r>
                    <w:rPr>
                      <w:rFonts w:hint="eastAsia"/>
                    </w:rPr>
                    <w:t>。施工期</w:t>
                  </w:r>
                  <w:r>
                    <w:t>施工工地安装视频监控设施</w:t>
                  </w:r>
                  <w:r>
                    <w:rPr>
                      <w:rFonts w:hint="eastAsia"/>
                    </w:rPr>
                    <w:t>，渣土</w:t>
                  </w:r>
                  <w:r>
                    <w:t>车辆安装卫星定位系统</w:t>
                  </w:r>
                  <w:r>
                    <w:rPr>
                      <w:rFonts w:hint="eastAsia"/>
                    </w:rPr>
                    <w:t>，</w:t>
                  </w:r>
                  <w:r>
                    <w:t>杜绝超速、超高装载、带泥上路、抛洒泄漏等现象</w:t>
                  </w:r>
                  <w:r>
                    <w:rPr>
                      <w:rFonts w:hint="eastAsia"/>
                    </w:rPr>
                    <w:t>。</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shd w:val="clear" w:color="auto" w:fill="auto"/>
                  <w:vAlign w:val="center"/>
                </w:tcPr>
                <w:p>
                  <w:pPr>
                    <w:contextualSpacing/>
                    <w:jc w:val="center"/>
                    <w:rPr>
                      <w:kern w:val="0"/>
                      <w:sz w:val="24"/>
                    </w:rPr>
                  </w:pPr>
                  <w:r>
                    <w:rPr>
                      <w:rFonts w:hint="eastAsia"/>
                      <w:szCs w:val="21"/>
                    </w:rPr>
                    <w:t>《医院污水处理技术指南》（环发[2003]197号）</w:t>
                  </w:r>
                </w:p>
              </w:tc>
              <w:tc>
                <w:tcPr>
                  <w:tcW w:w="2927" w:type="dxa"/>
                  <w:shd w:val="clear" w:color="auto" w:fill="auto"/>
                  <w:vAlign w:val="center"/>
                </w:tcPr>
                <w:p>
                  <w:pPr>
                    <w:contextualSpacing/>
                    <w:jc w:val="center"/>
                    <w:rPr>
                      <w:kern w:val="0"/>
                      <w:sz w:val="24"/>
                    </w:rPr>
                  </w:pPr>
                  <w:r>
                    <w:rPr>
                      <w:rFonts w:hint="eastAsia"/>
                      <w:szCs w:val="21"/>
                    </w:rPr>
                    <w:t>处理出水排入城市下水道(下游设有二级污水处理厂)的综合医院推荐采用二级处理，对采用一级处理工艺的必须加强处理效果。</w:t>
                  </w:r>
                </w:p>
              </w:tc>
              <w:tc>
                <w:tcPr>
                  <w:tcW w:w="1231" w:type="dxa"/>
                  <w:vMerge w:val="restart"/>
                  <w:shd w:val="clear" w:color="auto" w:fill="auto"/>
                  <w:vAlign w:val="center"/>
                </w:tcPr>
                <w:p>
                  <w:pPr>
                    <w:contextualSpacing/>
                    <w:jc w:val="center"/>
                    <w:rPr>
                      <w:kern w:val="0"/>
                      <w:sz w:val="24"/>
                    </w:rPr>
                  </w:pPr>
                  <w:r>
                    <w:rPr>
                      <w:rFonts w:hint="eastAsia"/>
                      <w:szCs w:val="21"/>
                    </w:rPr>
                    <w:t>本项目不设传染病房及病区，废水排入医院污水处理站进行处理，目前污水处理后拉运至县城污水处理厂处理，待马蹄沟产业园区污水处理厂（正在建设中）投入运行后并网处理</w:t>
                  </w:r>
                  <w:r>
                    <w:rPr>
                      <w:rFonts w:hint="eastAsia"/>
                      <w:bCs/>
                      <w:szCs w:val="21"/>
                    </w:rPr>
                    <w:t>；本项目污水处理站</w:t>
                  </w:r>
                  <w:r>
                    <w:rPr>
                      <w:szCs w:val="21"/>
                    </w:rPr>
                    <w:t>采用</w:t>
                  </w:r>
                  <w:r>
                    <w:rPr>
                      <w:rFonts w:hint="eastAsia"/>
                      <w:szCs w:val="21"/>
                    </w:rPr>
                    <w:t>“</w:t>
                  </w:r>
                  <w:r>
                    <w:rPr>
                      <w:szCs w:val="21"/>
                    </w:rPr>
                    <w:t>调节池+混凝沉淀</w:t>
                  </w:r>
                  <w:r>
                    <w:rPr>
                      <w:rFonts w:hint="eastAsia"/>
                      <w:szCs w:val="21"/>
                    </w:rPr>
                    <w:t>（一级强化）</w:t>
                  </w:r>
                  <w:r>
                    <w:rPr>
                      <w:szCs w:val="21"/>
                    </w:rPr>
                    <w:t>+</w:t>
                  </w:r>
                  <w:r>
                    <w:rPr>
                      <w:rFonts w:hint="eastAsia"/>
                      <w:szCs w:val="21"/>
                    </w:rPr>
                    <w:t>次氯酸钠</w:t>
                  </w:r>
                  <w:r>
                    <w:rPr>
                      <w:szCs w:val="21"/>
                    </w:rPr>
                    <w:t>消毒</w:t>
                  </w:r>
                  <w:r>
                    <w:rPr>
                      <w:rFonts w:hint="eastAsia"/>
                      <w:szCs w:val="21"/>
                    </w:rPr>
                    <w:t>”工艺处理。</w:t>
                  </w:r>
                </w:p>
              </w:tc>
              <w:tc>
                <w:tcPr>
                  <w:tcW w:w="1615" w:type="dxa"/>
                  <w:shd w:val="clear" w:color="auto" w:fill="auto"/>
                  <w:vAlign w:val="center"/>
                </w:tcPr>
                <w:p>
                  <w:pPr>
                    <w:contextualSpacing/>
                    <w:jc w:val="center"/>
                    <w:rPr>
                      <w:kern w:val="0"/>
                      <w:sz w:val="24"/>
                    </w:rPr>
                  </w:pPr>
                  <w:r>
                    <w:rPr>
                      <w:rFonts w:hint="eastAsia"/>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zCs w:val="21"/>
                    </w:rPr>
                    <w:t>对于综合医院(不带传染病房)污水处理可采用“预处理→一级强化处理→消毒”的工艺。通过混凝沉淀(过滤)去除携带病毒、病菌的颗粒物，提高消毒效果并降低消毒剂的用量，从而避免消毒剂用量过大对环境产生的不良影响。</w:t>
                  </w:r>
                </w:p>
              </w:tc>
              <w:tc>
                <w:tcPr>
                  <w:tcW w:w="1231" w:type="dxa"/>
                  <w:vMerge w:val="continue"/>
                  <w:shd w:val="clear" w:color="auto" w:fill="auto"/>
                  <w:vAlign w:val="center"/>
                </w:tcPr>
                <w:p>
                  <w:pPr>
                    <w:contextualSpacing/>
                    <w:jc w:val="center"/>
                    <w:rPr>
                      <w:kern w:val="0"/>
                      <w:sz w:val="24"/>
                    </w:rPr>
                  </w:pPr>
                </w:p>
              </w:tc>
              <w:tc>
                <w:tcPr>
                  <w:tcW w:w="1615" w:type="dxa"/>
                  <w:shd w:val="clear" w:color="auto" w:fill="auto"/>
                  <w:vAlign w:val="center"/>
                </w:tcPr>
                <w:p>
                  <w:pPr>
                    <w:contextualSpacing/>
                    <w:jc w:val="center"/>
                    <w:rPr>
                      <w:kern w:val="0"/>
                      <w:sz w:val="24"/>
                    </w:rPr>
                  </w:pPr>
                  <w:r>
                    <w:rPr>
                      <w:rFonts w:hint="eastAsia"/>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shd w:val="clear" w:color="auto" w:fill="auto"/>
                  <w:vAlign w:val="center"/>
                </w:tcPr>
                <w:p>
                  <w:pPr>
                    <w:contextualSpacing/>
                    <w:jc w:val="center"/>
                    <w:rPr>
                      <w:kern w:val="0"/>
                      <w:sz w:val="24"/>
                    </w:rPr>
                  </w:pPr>
                  <w:r>
                    <w:rPr>
                      <w:rFonts w:hint="eastAsia"/>
                      <w:kern w:val="0"/>
                      <w:szCs w:val="21"/>
                    </w:rPr>
                    <w:t>《医疗机构水污染物排放标准》（GB18466-2005）</w:t>
                  </w:r>
                </w:p>
              </w:tc>
              <w:tc>
                <w:tcPr>
                  <w:tcW w:w="2927" w:type="dxa"/>
                  <w:shd w:val="clear" w:color="auto" w:fill="auto"/>
                  <w:vAlign w:val="center"/>
                </w:tcPr>
                <w:p>
                  <w:pPr>
                    <w:contextualSpacing/>
                    <w:jc w:val="center"/>
                    <w:rPr>
                      <w:kern w:val="0"/>
                      <w:sz w:val="24"/>
                    </w:rPr>
                  </w:pPr>
                  <w:r>
                    <w:t>医疗机构病区和非病区的污水，传染病区和非传染病区的污水应分流，不得将固体传染性废物、各种化学废液弃置和倾倒排入下</w:t>
                  </w:r>
                  <w:r>
                    <w:rPr>
                      <w:rFonts w:hint="eastAsia"/>
                    </w:rPr>
                    <w:t>水道。</w:t>
                  </w:r>
                </w:p>
              </w:tc>
              <w:tc>
                <w:tcPr>
                  <w:tcW w:w="1231" w:type="dxa"/>
                  <w:shd w:val="clear" w:color="auto" w:fill="auto"/>
                  <w:vAlign w:val="center"/>
                </w:tcPr>
                <w:p>
                  <w:pPr>
                    <w:contextualSpacing/>
                    <w:jc w:val="center"/>
                    <w:rPr>
                      <w:kern w:val="0"/>
                      <w:sz w:val="24"/>
                    </w:rPr>
                  </w:pPr>
                  <w:r>
                    <w:rPr>
                      <w:rFonts w:hint="eastAsia"/>
                      <w:spacing w:val="-6"/>
                      <w:szCs w:val="21"/>
                    </w:rPr>
                    <w:t>本项目不设置传染病房，医院病区废水和非病区废水分别经污水管道排入医院污水处理站进行处理，禁止将</w:t>
                  </w:r>
                  <w:r>
                    <w:t>固体传染性废物、各种化学废液弃置和倾倒排入下</w:t>
                  </w:r>
                  <w:r>
                    <w:rPr>
                      <w:rFonts w:hint="eastAsia"/>
                    </w:rPr>
                    <w:t>水道。</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t>医疗机构的各种特殊排水应单独收集并进行处理后，再排入医院污水</w:t>
                  </w:r>
                  <w:r>
                    <w:rPr>
                      <w:rFonts w:hint="eastAsia"/>
                    </w:rPr>
                    <w:t>处理站。</w:t>
                  </w:r>
                </w:p>
              </w:tc>
              <w:tc>
                <w:tcPr>
                  <w:tcW w:w="1231" w:type="dxa"/>
                  <w:shd w:val="clear" w:color="auto" w:fill="auto"/>
                  <w:vAlign w:val="center"/>
                </w:tcPr>
                <w:p>
                  <w:pPr>
                    <w:contextualSpacing/>
                    <w:jc w:val="center"/>
                    <w:rPr>
                      <w:kern w:val="0"/>
                      <w:sz w:val="24"/>
                    </w:rPr>
                  </w:pPr>
                  <w:r>
                    <w:rPr>
                      <w:rFonts w:hint="eastAsia"/>
                      <w:spacing w:val="-6"/>
                      <w:szCs w:val="21"/>
                    </w:rPr>
                    <w:t>本项目无特殊废水产生。</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t>综合医疗机构污水排放执行排放标准时，宜采用二级处理 ＋消毒工艺或深度处理＋消毒</w:t>
                  </w:r>
                  <w:r>
                    <w:rPr>
                      <w:rFonts w:hint="eastAsia"/>
                    </w:rPr>
                    <w:t>工艺；</w:t>
                  </w:r>
                  <w:r>
                    <w:t>执行预处理标准时宜采用一级处理或一级强化处理＋消毒工艺</w:t>
                  </w:r>
                  <w:r>
                    <w:rPr>
                      <w:rFonts w:hint="eastAsia"/>
                    </w:rPr>
                    <w:t>。</w:t>
                  </w:r>
                </w:p>
              </w:tc>
              <w:tc>
                <w:tcPr>
                  <w:tcW w:w="1231" w:type="dxa"/>
                  <w:shd w:val="clear" w:color="auto" w:fill="auto"/>
                  <w:vAlign w:val="center"/>
                </w:tcPr>
                <w:p>
                  <w:pPr>
                    <w:contextualSpacing/>
                    <w:jc w:val="center"/>
                    <w:rPr>
                      <w:kern w:val="0"/>
                      <w:sz w:val="24"/>
                    </w:rPr>
                  </w:pPr>
                  <w:r>
                    <w:rPr>
                      <w:rFonts w:hint="eastAsia"/>
                      <w:spacing w:val="-6"/>
                      <w:szCs w:val="21"/>
                    </w:rPr>
                    <w:t>本项目废水执行预处理标准，采用</w:t>
                  </w:r>
                  <w:r>
                    <w:rPr>
                      <w:rFonts w:hint="eastAsia"/>
                      <w:szCs w:val="21"/>
                    </w:rPr>
                    <w:t>“</w:t>
                  </w:r>
                  <w:r>
                    <w:rPr>
                      <w:szCs w:val="21"/>
                    </w:rPr>
                    <w:t>调节池+混凝沉淀</w:t>
                  </w:r>
                  <w:r>
                    <w:rPr>
                      <w:rFonts w:hint="eastAsia"/>
                      <w:szCs w:val="21"/>
                    </w:rPr>
                    <w:t>（一级强化）</w:t>
                  </w:r>
                  <w:r>
                    <w:rPr>
                      <w:szCs w:val="21"/>
                    </w:rPr>
                    <w:t>+</w:t>
                  </w:r>
                  <w:r>
                    <w:rPr>
                      <w:rFonts w:hint="eastAsia"/>
                      <w:szCs w:val="21"/>
                    </w:rPr>
                    <w:t>次氯酸钠</w:t>
                  </w:r>
                  <w:r>
                    <w:rPr>
                      <w:szCs w:val="21"/>
                    </w:rPr>
                    <w:t>消毒</w:t>
                  </w:r>
                  <w:r>
                    <w:rPr>
                      <w:rFonts w:hint="eastAsia"/>
                      <w:szCs w:val="21"/>
                    </w:rPr>
                    <w:t>”工艺处理。</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shd w:val="clear" w:color="auto" w:fill="auto"/>
                  <w:vAlign w:val="center"/>
                </w:tcPr>
                <w:p>
                  <w:pPr>
                    <w:contextualSpacing/>
                    <w:jc w:val="center"/>
                    <w:rPr>
                      <w:kern w:val="0"/>
                      <w:sz w:val="24"/>
                    </w:rPr>
                  </w:pPr>
                  <w:r>
                    <w:rPr>
                      <w:rFonts w:hint="eastAsia"/>
                      <w:kern w:val="0"/>
                      <w:szCs w:val="21"/>
                    </w:rPr>
                    <w:t>《医院污水处理工程技术规范》</w:t>
                  </w:r>
                  <w:r>
                    <w:rPr>
                      <w:rFonts w:hint="eastAsia"/>
                    </w:rPr>
                    <w:t>（HJ2029-2013）</w:t>
                  </w:r>
                </w:p>
              </w:tc>
              <w:tc>
                <w:tcPr>
                  <w:tcW w:w="2927" w:type="dxa"/>
                  <w:shd w:val="clear" w:color="auto" w:fill="auto"/>
                  <w:vAlign w:val="center"/>
                </w:tcPr>
                <w:p>
                  <w:pPr>
                    <w:contextualSpacing/>
                    <w:jc w:val="center"/>
                    <w:rPr>
                      <w:kern w:val="0"/>
                      <w:sz w:val="24"/>
                    </w:rPr>
                  </w:pPr>
                  <w:r>
                    <w:rPr>
                      <w:spacing w:val="-6"/>
                      <w:szCs w:val="21"/>
                    </w:rPr>
                    <w:t>医院污水处理工程设计水量应在实测或测算的基础上留有设计裕量，设计裕量宜取实测值或测算值的10%~20%。</w:t>
                  </w:r>
                </w:p>
              </w:tc>
              <w:tc>
                <w:tcPr>
                  <w:tcW w:w="1231" w:type="dxa"/>
                  <w:shd w:val="clear" w:color="auto" w:fill="auto"/>
                  <w:vAlign w:val="center"/>
                </w:tcPr>
                <w:p>
                  <w:pPr>
                    <w:contextualSpacing/>
                    <w:jc w:val="center"/>
                    <w:rPr>
                      <w:kern w:val="0"/>
                      <w:sz w:val="24"/>
                    </w:rPr>
                  </w:pPr>
                  <w:r>
                    <w:rPr>
                      <w:spacing w:val="-6"/>
                      <w:szCs w:val="21"/>
                    </w:rPr>
                    <w:t>本项目废水产生量为45.95m</w:t>
                  </w:r>
                  <w:r>
                    <w:rPr>
                      <w:spacing w:val="-6"/>
                      <w:szCs w:val="21"/>
                      <w:vertAlign w:val="superscript"/>
                    </w:rPr>
                    <w:t>3</w:t>
                  </w:r>
                  <w:r>
                    <w:rPr>
                      <w:spacing w:val="-6"/>
                      <w:szCs w:val="21"/>
                    </w:rPr>
                    <w:t>/d，污水处理站处理规模为</w:t>
                  </w:r>
                  <w:r>
                    <w:rPr>
                      <w:rFonts w:hint="eastAsia"/>
                      <w:spacing w:val="-6"/>
                      <w:szCs w:val="21"/>
                    </w:rPr>
                    <w:t>60</w:t>
                  </w:r>
                  <w:r>
                    <w:rPr>
                      <w:spacing w:val="-6"/>
                      <w:szCs w:val="21"/>
                    </w:rPr>
                    <w:t>m</w:t>
                  </w:r>
                  <w:r>
                    <w:rPr>
                      <w:spacing w:val="-6"/>
                      <w:szCs w:val="21"/>
                      <w:vertAlign w:val="superscript"/>
                    </w:rPr>
                    <w:t>3</w:t>
                  </w:r>
                  <w:r>
                    <w:rPr>
                      <w:spacing w:val="-6"/>
                      <w:szCs w:val="21"/>
                    </w:rPr>
                    <w:t>/d，满足设计要求。</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spacing w:val="-6"/>
                      <w:szCs w:val="21"/>
                    </w:rPr>
                    <w:t>医院污水处理过程产生的污泥、废渣的堆放应符合《医疗废物集中处置技术规范》、HJ/T177-2005及HJ/T 276-2006 的有关规定。</w:t>
                  </w:r>
                </w:p>
              </w:tc>
              <w:tc>
                <w:tcPr>
                  <w:tcW w:w="1231" w:type="dxa"/>
                  <w:shd w:val="clear" w:color="auto" w:fill="auto"/>
                  <w:vAlign w:val="center"/>
                </w:tcPr>
                <w:p>
                  <w:pPr>
                    <w:contextualSpacing/>
                    <w:jc w:val="center"/>
                    <w:rPr>
                      <w:kern w:val="0"/>
                      <w:sz w:val="24"/>
                    </w:rPr>
                  </w:pPr>
                  <w:r>
                    <w:rPr>
                      <w:rFonts w:hint="eastAsia"/>
                      <w:spacing w:val="-6"/>
                      <w:szCs w:val="21"/>
                    </w:rPr>
                    <w:t>评价要求污水处理站产生的污泥经消毒后委托有资质单位处置。</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pacing w:val="-6"/>
                      <w:szCs w:val="21"/>
                    </w:rPr>
                    <w:t>医院污水处理工程以采用低噪声设备和采取隔音为主的控制措施，辅以消声、隔振、吸音等综合噪声治理措施。</w:t>
                  </w:r>
                </w:p>
              </w:tc>
              <w:tc>
                <w:tcPr>
                  <w:tcW w:w="1231" w:type="dxa"/>
                  <w:shd w:val="clear" w:color="auto" w:fill="auto"/>
                  <w:vAlign w:val="center"/>
                </w:tcPr>
                <w:p>
                  <w:pPr>
                    <w:contextualSpacing/>
                    <w:jc w:val="center"/>
                    <w:rPr>
                      <w:kern w:val="0"/>
                      <w:sz w:val="24"/>
                    </w:rPr>
                  </w:pPr>
                  <w:r>
                    <w:rPr>
                      <w:rFonts w:hint="eastAsia"/>
                      <w:spacing w:val="-6"/>
                      <w:szCs w:val="21"/>
                    </w:rPr>
                    <w:t>污水处理站水泵、风机均选用低噪声设备，采取减振、隔声等措施。</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szCs w:val="21"/>
                    </w:rPr>
                    <w:t>医院污水处理构筑物应采取防腐蚀、防渗漏、防冻等技术措施，各种构筑物宜加盖密闭，并设通气装置。</w:t>
                  </w:r>
                </w:p>
              </w:tc>
              <w:tc>
                <w:tcPr>
                  <w:tcW w:w="1231" w:type="dxa"/>
                  <w:shd w:val="clear" w:color="auto" w:fill="auto"/>
                  <w:vAlign w:val="center"/>
                </w:tcPr>
                <w:p>
                  <w:pPr>
                    <w:contextualSpacing/>
                    <w:jc w:val="center"/>
                    <w:rPr>
                      <w:kern w:val="0"/>
                      <w:sz w:val="24"/>
                    </w:rPr>
                  </w:pPr>
                  <w:r>
                    <w:rPr>
                      <w:rFonts w:hint="eastAsia"/>
                      <w:spacing w:val="-6"/>
                      <w:szCs w:val="21"/>
                    </w:rPr>
                    <w:t>废水处理装置</w:t>
                  </w:r>
                  <w:r>
                    <w:rPr>
                      <w:spacing w:val="-6"/>
                      <w:szCs w:val="21"/>
                    </w:rPr>
                    <w:t>采用密闭式一体化设备，且进行防腐蚀、防渗漏、防冻等技术措施。</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zCs w:val="21"/>
                    </w:rPr>
                    <w:t>非传染病医院污水，若处理出水直接或间接排入地表水体或海域时，应采用二级处理</w:t>
                  </w:r>
                  <w:r>
                    <w:rPr>
                      <w:szCs w:val="21"/>
                    </w:rPr>
                    <w:t>+</w:t>
                  </w:r>
                  <w:r>
                    <w:rPr>
                      <w:rFonts w:hint="eastAsia"/>
                      <w:szCs w:val="21"/>
                    </w:rPr>
                    <w:t>消毒工艺或二级处理</w:t>
                  </w:r>
                  <w:r>
                    <w:rPr>
                      <w:szCs w:val="21"/>
                    </w:rPr>
                    <w:t>+</w:t>
                  </w:r>
                  <w:r>
                    <w:rPr>
                      <w:rFonts w:hint="eastAsia"/>
                      <w:szCs w:val="21"/>
                    </w:rPr>
                    <w:t>深度处理</w:t>
                  </w:r>
                  <w:r>
                    <w:rPr>
                      <w:szCs w:val="21"/>
                    </w:rPr>
                    <w:t>+</w:t>
                  </w:r>
                  <w:r>
                    <w:rPr>
                      <w:rFonts w:hint="eastAsia"/>
                      <w:szCs w:val="21"/>
                    </w:rPr>
                    <w:t>消毒工艺；若处理出水排入终端已建有正常运行的二级污水处理厂的城市污水管网时，可采用一级强化处理+消毒工艺。</w:t>
                  </w:r>
                </w:p>
              </w:tc>
              <w:tc>
                <w:tcPr>
                  <w:tcW w:w="1231" w:type="dxa"/>
                  <w:shd w:val="clear" w:color="auto" w:fill="auto"/>
                  <w:vAlign w:val="center"/>
                </w:tcPr>
                <w:p>
                  <w:pPr>
                    <w:contextualSpacing/>
                    <w:jc w:val="center"/>
                    <w:rPr>
                      <w:kern w:val="0"/>
                      <w:sz w:val="24"/>
                    </w:rPr>
                  </w:pPr>
                  <w:r>
                    <w:rPr>
                      <w:rFonts w:hint="eastAsia"/>
                      <w:szCs w:val="21"/>
                    </w:rPr>
                    <w:t>本项目废水排放为间接排放，医院</w:t>
                  </w:r>
                  <w:r>
                    <w:rPr>
                      <w:rFonts w:hint="eastAsia"/>
                      <w:bCs/>
                      <w:szCs w:val="21"/>
                    </w:rPr>
                    <w:t>污水处理站</w:t>
                  </w:r>
                  <w:r>
                    <w:rPr>
                      <w:szCs w:val="21"/>
                    </w:rPr>
                    <w:t>采用</w:t>
                  </w:r>
                  <w:r>
                    <w:rPr>
                      <w:rFonts w:hint="eastAsia"/>
                      <w:szCs w:val="21"/>
                    </w:rPr>
                    <w:t>“</w:t>
                  </w:r>
                  <w:r>
                    <w:rPr>
                      <w:szCs w:val="21"/>
                    </w:rPr>
                    <w:t>调节池+混凝沉淀</w:t>
                  </w:r>
                  <w:r>
                    <w:rPr>
                      <w:rFonts w:hint="eastAsia"/>
                      <w:szCs w:val="21"/>
                    </w:rPr>
                    <w:t>（一级强化）</w:t>
                  </w:r>
                  <w:r>
                    <w:rPr>
                      <w:szCs w:val="21"/>
                    </w:rPr>
                    <w:t>+</w:t>
                  </w:r>
                  <w:r>
                    <w:rPr>
                      <w:rFonts w:hint="eastAsia"/>
                      <w:szCs w:val="21"/>
                    </w:rPr>
                    <w:t>次氯酸钠</w:t>
                  </w:r>
                  <w:r>
                    <w:rPr>
                      <w:szCs w:val="21"/>
                    </w:rPr>
                    <w:t>消毒</w:t>
                  </w:r>
                  <w:r>
                    <w:rPr>
                      <w:rFonts w:hint="eastAsia"/>
                      <w:szCs w:val="21"/>
                    </w:rPr>
                    <w:t>”工艺处理。</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pacing w:val="-11"/>
                      <w:szCs w:val="21"/>
                    </w:rPr>
                    <w:t>污泥消毒一般采用化学消毒方式。常用的消毒药剂为石灰和漂白粉</w:t>
                  </w:r>
                  <w:r>
                    <w:rPr>
                      <w:spacing w:val="-11"/>
                      <w:szCs w:val="21"/>
                    </w:rPr>
                    <w:t>……</w:t>
                  </w:r>
                  <w:r>
                    <w:rPr>
                      <w:rFonts w:hint="eastAsia"/>
                      <w:spacing w:val="-11"/>
                      <w:szCs w:val="21"/>
                    </w:rPr>
                    <w:t>脱水污泥含水率应小于</w:t>
                  </w:r>
                  <w:r>
                    <w:rPr>
                      <w:spacing w:val="-11"/>
                      <w:szCs w:val="21"/>
                    </w:rPr>
                    <w:t>80%</w:t>
                  </w:r>
                  <w:r>
                    <w:rPr>
                      <w:rFonts w:hint="eastAsia"/>
                      <w:spacing w:val="-11"/>
                      <w:szCs w:val="21"/>
                    </w:rPr>
                    <w:t>。</w:t>
                  </w:r>
                  <w:r>
                    <w:rPr>
                      <w:szCs w:val="21"/>
                    </w:rPr>
                    <w:t>医院污泥应按危险废物处理处置要求，由具有危险废物处置资质的单位进行集中收集处置。</w:t>
                  </w:r>
                </w:p>
              </w:tc>
              <w:tc>
                <w:tcPr>
                  <w:tcW w:w="1231" w:type="dxa"/>
                  <w:shd w:val="clear" w:color="auto" w:fill="auto"/>
                  <w:vAlign w:val="center"/>
                </w:tcPr>
                <w:p>
                  <w:pPr>
                    <w:contextualSpacing/>
                    <w:jc w:val="center"/>
                    <w:rPr>
                      <w:kern w:val="0"/>
                      <w:sz w:val="24"/>
                    </w:rPr>
                  </w:pPr>
                  <w:r>
                    <w:rPr>
                      <w:rFonts w:hint="eastAsia"/>
                      <w:spacing w:val="-11"/>
                      <w:szCs w:val="21"/>
                    </w:rPr>
                    <w:t>本项目污泥产生量较小，若设置污泥脱水系统，不但需增加污水处理系统的占地面积，而且污泥脱水过程会产生较大的恶臭污染，对本项目及周边居民均会造成较大的影响，因此要求污泥拟排至污泥箱，采用石灰定期消毒，最终委托有资质单位作为危险废物进行处置。</w:t>
                  </w:r>
                </w:p>
              </w:tc>
              <w:tc>
                <w:tcPr>
                  <w:tcW w:w="1615" w:type="dxa"/>
                  <w:shd w:val="clear" w:color="auto" w:fill="auto"/>
                  <w:vAlign w:val="center"/>
                </w:tcPr>
                <w:p>
                  <w:pPr>
                    <w:contextualSpacing/>
                    <w:jc w:val="center"/>
                    <w:rPr>
                      <w:kern w:val="0"/>
                      <w:sz w:val="24"/>
                    </w:rPr>
                  </w:pPr>
                  <w:r>
                    <w:rPr>
                      <w:rFonts w:hint="eastAsia"/>
                      <w:spacing w:val="-11"/>
                      <w:szCs w:val="21"/>
                    </w:rPr>
                    <w:t>由于</w:t>
                  </w:r>
                  <w:r>
                    <w:rPr>
                      <w:spacing w:val="-11"/>
                      <w:szCs w:val="21"/>
                    </w:rPr>
                    <w:t>《医院污水处理工程技术规范》（HJ2029-2013）</w:t>
                  </w:r>
                  <w:r>
                    <w:rPr>
                      <w:rFonts w:hint="eastAsia"/>
                      <w:spacing w:val="-11"/>
                      <w:szCs w:val="21"/>
                    </w:rPr>
                    <w:t>属于指导性文件，不具有强制性，因此本项目污泥消毒剂类型执行其要求，但污泥不进行脱水，不执行其含水率要求。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pacing w:val="-11"/>
                      <w:szCs w:val="21"/>
                    </w:rPr>
                    <w:t>医院污水处理工程与病房、居民区等建筑物之间应设绿化防护带或隔离带，以减少臭气和噪音对病人或居民的干扰。</w:t>
                  </w:r>
                </w:p>
              </w:tc>
              <w:tc>
                <w:tcPr>
                  <w:tcW w:w="1231" w:type="dxa"/>
                  <w:shd w:val="clear" w:color="auto" w:fill="auto"/>
                  <w:vAlign w:val="center"/>
                </w:tcPr>
                <w:p>
                  <w:pPr>
                    <w:contextualSpacing/>
                    <w:jc w:val="center"/>
                    <w:rPr>
                      <w:kern w:val="0"/>
                      <w:sz w:val="24"/>
                    </w:rPr>
                  </w:pPr>
                  <w:r>
                    <w:rPr>
                      <w:rFonts w:hint="eastAsia"/>
                      <w:spacing w:val="-6"/>
                      <w:szCs w:val="21"/>
                    </w:rPr>
                    <w:t>根据建设单位提供的设计，本项目医院污水处理站与病房及周围居民区等建筑物之间设置了绿化措施。</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pacing w:val="-11"/>
                      <w:szCs w:val="21"/>
                    </w:rPr>
                    <w:t>新（改、扩）建医院，在设计医院污水处理系统时应考虑将医院病区、非病区、传染病房、非传染病房污水分别收集。</w:t>
                  </w:r>
                </w:p>
              </w:tc>
              <w:tc>
                <w:tcPr>
                  <w:tcW w:w="1231" w:type="dxa"/>
                  <w:shd w:val="clear" w:color="auto" w:fill="auto"/>
                  <w:vAlign w:val="center"/>
                </w:tcPr>
                <w:p>
                  <w:pPr>
                    <w:contextualSpacing/>
                    <w:jc w:val="center"/>
                    <w:rPr>
                      <w:kern w:val="0"/>
                      <w:sz w:val="24"/>
                    </w:rPr>
                  </w:pPr>
                  <w:r>
                    <w:rPr>
                      <w:rFonts w:hint="eastAsia"/>
                      <w:spacing w:val="-6"/>
                      <w:szCs w:val="21"/>
                    </w:rPr>
                    <w:t>本项目为新建项目，不设置传染病房，医院病区废水和非病区废水分别经污水管道排入医院污水处理站进行处理。</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pacing w:val="-11"/>
                      <w:szCs w:val="21"/>
                    </w:rPr>
                    <w:t>特殊性质污水应单独收集，经预处理后与医院污水合并处理，不得将特殊性质污水随意排入下水道。</w:t>
                  </w:r>
                </w:p>
              </w:tc>
              <w:tc>
                <w:tcPr>
                  <w:tcW w:w="1231" w:type="dxa"/>
                  <w:shd w:val="clear" w:color="auto" w:fill="auto"/>
                  <w:vAlign w:val="center"/>
                </w:tcPr>
                <w:p>
                  <w:pPr>
                    <w:contextualSpacing/>
                    <w:jc w:val="center"/>
                    <w:rPr>
                      <w:kern w:val="0"/>
                      <w:sz w:val="24"/>
                    </w:rPr>
                  </w:pPr>
                  <w:r>
                    <w:rPr>
                      <w:rFonts w:hint="eastAsia"/>
                      <w:spacing w:val="-6"/>
                      <w:szCs w:val="21"/>
                    </w:rPr>
                    <w:t>本项目无特殊废水产生。</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1" w:type="dxa"/>
                  <w:shd w:val="clear" w:color="auto" w:fill="auto"/>
                  <w:vAlign w:val="center"/>
                </w:tcPr>
                <w:p>
                  <w:pPr>
                    <w:contextualSpacing/>
                    <w:jc w:val="center"/>
                    <w:rPr>
                      <w:kern w:val="0"/>
                      <w:sz w:val="24"/>
                    </w:rPr>
                  </w:pPr>
                  <w:r>
                    <w:rPr>
                      <w:rFonts w:hint="eastAsia"/>
                      <w:szCs w:val="21"/>
                    </w:rPr>
                    <w:t>《陕西省医疗卫生机构医疗废物管理规范（试行）》及《医疗废物污染防治技术政策》</w:t>
                  </w:r>
                </w:p>
              </w:tc>
              <w:tc>
                <w:tcPr>
                  <w:tcW w:w="2927" w:type="dxa"/>
                  <w:shd w:val="clear" w:color="auto" w:fill="auto"/>
                  <w:vAlign w:val="center"/>
                </w:tcPr>
                <w:p>
                  <w:pPr>
                    <w:contextualSpacing/>
                    <w:jc w:val="center"/>
                    <w:rPr>
                      <w:kern w:val="0"/>
                      <w:sz w:val="24"/>
                    </w:rPr>
                  </w:pPr>
                  <w:r>
                    <w:rPr>
                      <w:szCs w:val="21"/>
                    </w:rPr>
                    <w:t>“分类收集、运送与暂存”应对医疗废物实施分类管理，并建立医疗废物暂时贮存设施、设备。</w:t>
                  </w:r>
                </w:p>
              </w:tc>
              <w:tc>
                <w:tcPr>
                  <w:tcW w:w="1231" w:type="dxa"/>
                  <w:shd w:val="clear" w:color="auto" w:fill="auto"/>
                  <w:vAlign w:val="center"/>
                </w:tcPr>
                <w:p>
                  <w:pPr>
                    <w:contextualSpacing/>
                    <w:jc w:val="center"/>
                    <w:rPr>
                      <w:kern w:val="0"/>
                      <w:sz w:val="24"/>
                    </w:rPr>
                  </w:pPr>
                  <w:r>
                    <w:rPr>
                      <w:szCs w:val="21"/>
                    </w:rPr>
                    <w:t>本项目设置医疗废物暂存间，分类收集、及时运送</w:t>
                  </w:r>
                  <w:r>
                    <w:rPr>
                      <w:rFonts w:hint="eastAsia"/>
                      <w:szCs w:val="21"/>
                    </w:rPr>
                    <w:t>。</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jc w:val="center"/>
                    <w:rPr>
                      <w:kern w:val="0"/>
                      <w:sz w:val="24"/>
                    </w:rPr>
                  </w:pPr>
                  <w:r>
                    <w:rPr>
                      <w:rFonts w:hint="eastAsia"/>
                      <w:kern w:val="0"/>
                      <w:szCs w:val="21"/>
                    </w:rPr>
                    <w:t>《医疗机构废弃物综合治理工作方案》（国卫医发[</w:t>
                  </w:r>
                  <w:r>
                    <w:rPr>
                      <w:kern w:val="0"/>
                      <w:szCs w:val="21"/>
                    </w:rPr>
                    <w:t>2020]3</w:t>
                  </w:r>
                  <w:r>
                    <w:rPr>
                      <w:rFonts w:hint="eastAsia"/>
                      <w:kern w:val="0"/>
                      <w:szCs w:val="21"/>
                    </w:rPr>
                    <w:t>号）</w:t>
                  </w:r>
                </w:p>
              </w:tc>
              <w:tc>
                <w:tcPr>
                  <w:tcW w:w="2927" w:type="dxa"/>
                  <w:shd w:val="clear" w:color="auto" w:fill="auto"/>
                  <w:vAlign w:val="center"/>
                </w:tcPr>
                <w:p>
                  <w:pPr>
                    <w:contextualSpacing/>
                    <w:jc w:val="center"/>
                    <w:rPr>
                      <w:kern w:val="0"/>
                      <w:sz w:val="24"/>
                    </w:rPr>
                  </w:pPr>
                  <w:r>
                    <w:rPr>
                      <w:rFonts w:hint="eastAsia"/>
                      <w:spacing w:val="-6"/>
                      <w:szCs w:val="21"/>
                    </w:rPr>
                    <w:t>进一步明确处置要求。医疗机构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规范医疗废物贮存场所（设施）管理，不得露天存放。及时告知并将医疗废物交由持有危险废物经营许可证的集中处置单位，执行转移联单并做好交接登记，资料保存不少于3年。医疗废物集中处置单位要配备数量充足的收集、转运周转设施和具备相关资质的车辆，至少每2天到医疗机构收集、转运一次医疗废物。</w:t>
                  </w:r>
                </w:p>
              </w:tc>
              <w:tc>
                <w:tcPr>
                  <w:tcW w:w="1231" w:type="dxa"/>
                  <w:shd w:val="clear" w:color="auto" w:fill="auto"/>
                  <w:vAlign w:val="center"/>
                </w:tcPr>
                <w:p>
                  <w:pPr>
                    <w:contextualSpacing/>
                    <w:jc w:val="center"/>
                    <w:rPr>
                      <w:kern w:val="0"/>
                      <w:sz w:val="24"/>
                    </w:rPr>
                  </w:pPr>
                  <w:r>
                    <w:rPr>
                      <w:rFonts w:hint="eastAsia"/>
                      <w:kern w:val="0"/>
                      <w:szCs w:val="21"/>
                    </w:rPr>
                    <w:t>本评价要求按照</w:t>
                  </w:r>
                  <w:r>
                    <w:rPr>
                      <w:rFonts w:hint="eastAsia"/>
                      <w:szCs w:val="21"/>
                    </w:rPr>
                    <w:t>《医疗废物分类目录》等要求制定具体的分类收集清单，医疗废物分类暂存于医疗废物暂存间，并要求不得超过2天，定期委托有资质单位处置。</w:t>
                  </w:r>
                </w:p>
              </w:tc>
              <w:tc>
                <w:tcPr>
                  <w:tcW w:w="1615" w:type="dxa"/>
                  <w:shd w:val="clear" w:color="auto" w:fill="auto"/>
                  <w:vAlign w:val="center"/>
                </w:tcPr>
                <w:p>
                  <w:pPr>
                    <w:contextualSpacing/>
                    <w:jc w:val="center"/>
                    <w:rPr>
                      <w:kern w:val="0"/>
                      <w:sz w:val="24"/>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shd w:val="clear" w:color="auto" w:fill="auto"/>
                  <w:vAlign w:val="center"/>
                </w:tcPr>
                <w:p>
                  <w:pPr>
                    <w:contextualSpacing/>
                    <w:jc w:val="center"/>
                    <w:rPr>
                      <w:kern w:val="0"/>
                      <w:sz w:val="24"/>
                    </w:rPr>
                  </w:pPr>
                  <w:r>
                    <w:rPr>
                      <w:rFonts w:hint="eastAsia"/>
                      <w:kern w:val="0"/>
                      <w:szCs w:val="21"/>
                    </w:rPr>
                    <w:t>《医疗废物管理条例》</w:t>
                  </w:r>
                </w:p>
              </w:tc>
              <w:tc>
                <w:tcPr>
                  <w:tcW w:w="2927" w:type="dxa"/>
                  <w:shd w:val="clear" w:color="auto" w:fill="auto"/>
                  <w:vAlign w:val="center"/>
                </w:tcPr>
                <w:p>
                  <w:pPr>
                    <w:contextualSpacing/>
                    <w:jc w:val="center"/>
                    <w:rPr>
                      <w:kern w:val="0"/>
                      <w:sz w:val="24"/>
                    </w:rPr>
                  </w:pPr>
                  <w:r>
                    <w:rPr>
                      <w:rFonts w:hint="eastAsia"/>
                      <w:szCs w:val="21"/>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1231" w:type="dxa"/>
                  <w:shd w:val="clear" w:color="auto" w:fill="auto"/>
                  <w:vAlign w:val="center"/>
                </w:tcPr>
                <w:p>
                  <w:pPr>
                    <w:contextualSpacing/>
                    <w:jc w:val="center"/>
                    <w:rPr>
                      <w:kern w:val="0"/>
                      <w:sz w:val="24"/>
                    </w:rPr>
                  </w:pPr>
                  <w:r>
                    <w:rPr>
                      <w:rFonts w:hint="eastAsia"/>
                      <w:kern w:val="0"/>
                      <w:szCs w:val="21"/>
                    </w:rPr>
                    <w:t>本评价要求项目制定医疗废物全过程管理规章制度，制订医疗废物泄漏应急方案，设置医疗废物管理专职人员。</w:t>
                  </w:r>
                </w:p>
              </w:tc>
              <w:tc>
                <w:tcPr>
                  <w:tcW w:w="1615" w:type="dxa"/>
                  <w:shd w:val="clear" w:color="auto" w:fill="auto"/>
                  <w:vAlign w:val="center"/>
                </w:tcPr>
                <w:p>
                  <w:pPr>
                    <w:contextualSpacing/>
                    <w:jc w:val="center"/>
                    <w:rPr>
                      <w:kern w:val="0"/>
                      <w:sz w:val="24"/>
                    </w:rPr>
                  </w:pPr>
                  <w:r>
                    <w:rPr>
                      <w:rFonts w:hint="eastAsia"/>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zCs w:val="21"/>
                    </w:rPr>
                    <w:t>医疗卫生机构和医疗废物集中处置单位，应当对本单位从事医疗废物收集、运送、贮存、处置等工作的人员和管理人员，进行相关法律和专业技术、安全防护以及紧急处理等知识的培训。</w:t>
                  </w:r>
                </w:p>
              </w:tc>
              <w:tc>
                <w:tcPr>
                  <w:tcW w:w="1231" w:type="dxa"/>
                  <w:shd w:val="clear" w:color="auto" w:fill="auto"/>
                  <w:vAlign w:val="center"/>
                </w:tcPr>
                <w:p>
                  <w:pPr>
                    <w:contextualSpacing/>
                    <w:jc w:val="center"/>
                    <w:rPr>
                      <w:kern w:val="0"/>
                      <w:sz w:val="24"/>
                    </w:rPr>
                  </w:pPr>
                  <w:r>
                    <w:rPr>
                      <w:rFonts w:hint="eastAsia"/>
                      <w:spacing w:val="-6"/>
                      <w:kern w:val="0"/>
                      <w:szCs w:val="21"/>
                    </w:rPr>
                    <w:t>本评价要求项目</w:t>
                  </w:r>
                  <w:r>
                    <w:rPr>
                      <w:spacing w:val="-6"/>
                      <w:kern w:val="0"/>
                      <w:szCs w:val="21"/>
                    </w:rPr>
                    <w:t>对本院从事医疗废物收集、运送、贮存、处置等工作的人员和管理人员，定期进行相关法律和专业技术、安全防护以及紧急处理等知识的培训。</w:t>
                  </w:r>
                </w:p>
              </w:tc>
              <w:tc>
                <w:tcPr>
                  <w:tcW w:w="1615" w:type="dxa"/>
                  <w:shd w:val="clear" w:color="auto" w:fill="auto"/>
                  <w:vAlign w:val="center"/>
                </w:tcPr>
                <w:p>
                  <w:pPr>
                    <w:contextualSpacing/>
                    <w:jc w:val="center"/>
                    <w:rPr>
                      <w:kern w:val="0"/>
                      <w:sz w:val="24"/>
                    </w:rPr>
                  </w:pPr>
                  <w:r>
                    <w:rPr>
                      <w:rFonts w:hint="eastAsia"/>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1" w:type="dxa"/>
                  <w:vMerge w:val="continue"/>
                  <w:shd w:val="clear" w:color="auto" w:fill="auto"/>
                  <w:vAlign w:val="center"/>
                </w:tcPr>
                <w:p>
                  <w:pPr>
                    <w:contextualSpacing/>
                    <w:jc w:val="center"/>
                    <w:rPr>
                      <w:kern w:val="0"/>
                      <w:sz w:val="24"/>
                    </w:rPr>
                  </w:pPr>
                </w:p>
              </w:tc>
              <w:tc>
                <w:tcPr>
                  <w:tcW w:w="2927" w:type="dxa"/>
                  <w:shd w:val="clear" w:color="auto" w:fill="auto"/>
                  <w:vAlign w:val="center"/>
                </w:tcPr>
                <w:p>
                  <w:pPr>
                    <w:contextualSpacing/>
                    <w:jc w:val="center"/>
                    <w:rPr>
                      <w:kern w:val="0"/>
                      <w:sz w:val="24"/>
                    </w:rPr>
                  </w:pPr>
                  <w:r>
                    <w:rPr>
                      <w:rFonts w:hint="eastAsia"/>
                      <w:szCs w:val="21"/>
                    </w:rPr>
                    <w:t>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共同制定。</w:t>
                  </w:r>
                </w:p>
              </w:tc>
              <w:tc>
                <w:tcPr>
                  <w:tcW w:w="1231" w:type="dxa"/>
                  <w:shd w:val="clear" w:color="auto" w:fill="auto"/>
                  <w:vAlign w:val="center"/>
                </w:tcPr>
                <w:p>
                  <w:pPr>
                    <w:contextualSpacing/>
                    <w:jc w:val="center"/>
                    <w:rPr>
                      <w:kern w:val="0"/>
                      <w:sz w:val="24"/>
                    </w:rPr>
                  </w:pPr>
                  <w:r>
                    <w:rPr>
                      <w:rFonts w:hint="eastAsia"/>
                      <w:kern w:val="0"/>
                      <w:szCs w:val="21"/>
                    </w:rPr>
                    <w:t>本评价要求医疗废物包装袋和容器严格执行《医疗废物专用包装物、容器标准和警示标识规定》。</w:t>
                  </w:r>
                </w:p>
              </w:tc>
              <w:tc>
                <w:tcPr>
                  <w:tcW w:w="1615" w:type="dxa"/>
                  <w:shd w:val="clear" w:color="auto" w:fill="auto"/>
                  <w:vAlign w:val="center"/>
                </w:tcPr>
                <w:p>
                  <w:pPr>
                    <w:contextualSpacing/>
                    <w:jc w:val="center"/>
                    <w:rPr>
                      <w:kern w:val="0"/>
                      <w:sz w:val="24"/>
                    </w:rPr>
                  </w:pPr>
                  <w:r>
                    <w:rPr>
                      <w:rFonts w:hint="eastAsia"/>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contextualSpacing/>
                    <w:jc w:val="center"/>
                    <w:rPr>
                      <w:kern w:val="0"/>
                      <w:sz w:val="24"/>
                    </w:rPr>
                  </w:pPr>
                  <w:r>
                    <w:rPr>
                      <w:rFonts w:hint="eastAsia"/>
                      <w:szCs w:val="21"/>
                    </w:rPr>
                    <w:t>《医疗卫生机构医疗废物管理办法》</w:t>
                  </w:r>
                </w:p>
              </w:tc>
              <w:tc>
                <w:tcPr>
                  <w:tcW w:w="2927" w:type="dxa"/>
                  <w:shd w:val="clear" w:color="auto" w:fill="auto"/>
                  <w:vAlign w:val="center"/>
                </w:tcPr>
                <w:p>
                  <w:pPr>
                    <w:contextualSpacing/>
                    <w:jc w:val="center"/>
                    <w:rPr>
                      <w:szCs w:val="21"/>
                    </w:rPr>
                  </w:pPr>
                  <w:r>
                    <w:rPr>
                      <w:szCs w:val="21"/>
                    </w:rPr>
                    <w:t>医疗卫生机构应当建立医疗废物暂时存储设施，不得露天存放医疗废物，医疗废物暂存贮存的时间不得超过2天。</w:t>
                  </w:r>
                </w:p>
              </w:tc>
              <w:tc>
                <w:tcPr>
                  <w:tcW w:w="1231" w:type="dxa"/>
                  <w:shd w:val="clear" w:color="auto" w:fill="auto"/>
                  <w:vAlign w:val="center"/>
                </w:tcPr>
                <w:p>
                  <w:pPr>
                    <w:contextualSpacing/>
                    <w:jc w:val="center"/>
                    <w:rPr>
                      <w:kern w:val="0"/>
                      <w:szCs w:val="21"/>
                    </w:rPr>
                  </w:pPr>
                  <w:r>
                    <w:rPr>
                      <w:szCs w:val="21"/>
                    </w:rPr>
                    <w:t>本项目建</w:t>
                  </w:r>
                  <w:r>
                    <w:rPr>
                      <w:rFonts w:hint="eastAsia"/>
                      <w:szCs w:val="21"/>
                    </w:rPr>
                    <w:t>设</w:t>
                  </w:r>
                  <w:r>
                    <w:rPr>
                      <w:szCs w:val="21"/>
                    </w:rPr>
                    <w:t>医疗废物暂存间，用于存放医疗废物</w:t>
                  </w:r>
                  <w:r>
                    <w:rPr>
                      <w:rFonts w:hint="eastAsia"/>
                      <w:szCs w:val="21"/>
                    </w:rPr>
                    <w:t>，不超过2天</w:t>
                  </w:r>
                  <w:r>
                    <w:rPr>
                      <w:szCs w:val="21"/>
                    </w:rPr>
                    <w:t>。</w:t>
                  </w:r>
                </w:p>
              </w:tc>
              <w:tc>
                <w:tcPr>
                  <w:tcW w:w="1615" w:type="dxa"/>
                  <w:shd w:val="clear" w:color="auto" w:fill="auto"/>
                  <w:vAlign w:val="center"/>
                </w:tcPr>
                <w:p>
                  <w:pPr>
                    <w:contextualSpacing/>
                    <w:jc w:val="center"/>
                    <w:rPr>
                      <w:bCs/>
                      <w:szCs w:val="21"/>
                    </w:rPr>
                  </w:pPr>
                  <w:r>
                    <w:rPr>
                      <w:szCs w:val="21"/>
                    </w:rPr>
                    <w:t>符合</w:t>
                  </w:r>
                </w:p>
              </w:tc>
            </w:tr>
          </w:tbl>
          <w:p>
            <w:pPr>
              <w:spacing w:line="360" w:lineRule="auto"/>
              <w:ind w:firstLine="480" w:firstLineChars="200"/>
              <w:contextualSpacing/>
              <w:rPr>
                <w:kern w:val="0"/>
                <w:sz w:val="24"/>
              </w:rPr>
            </w:pPr>
            <w:r>
              <w:rPr>
                <w:rFonts w:hint="eastAsia"/>
                <w:kern w:val="0"/>
                <w:sz w:val="24"/>
              </w:rPr>
              <w:t>3、与</w:t>
            </w:r>
            <w:r>
              <w:rPr>
                <w:kern w:val="0"/>
                <w:sz w:val="24"/>
              </w:rPr>
              <w:t>《榆林市投资项目选址“一张图”控制线检测报告》符合性分析</w:t>
            </w:r>
          </w:p>
          <w:p>
            <w:pPr>
              <w:spacing w:line="360" w:lineRule="auto"/>
              <w:ind w:firstLine="480" w:firstLineChars="200"/>
              <w:contextualSpacing/>
              <w:rPr>
                <w:kern w:val="0"/>
                <w:sz w:val="24"/>
              </w:rPr>
            </w:pPr>
            <w:r>
              <w:rPr>
                <w:kern w:val="0"/>
                <w:sz w:val="24"/>
              </w:rPr>
              <w:t>项目与《榆林市投资项目选址“一张图”控制线检测报告》符合性分析见表1-2，控制线检测报告见附件</w:t>
            </w:r>
            <w:r>
              <w:rPr>
                <w:rFonts w:hint="eastAsia"/>
                <w:kern w:val="0"/>
                <w:sz w:val="24"/>
              </w:rPr>
              <w:t>5</w:t>
            </w:r>
            <w:r>
              <w:rPr>
                <w:kern w:val="0"/>
                <w:sz w:val="24"/>
              </w:rPr>
              <w:t>。</w:t>
            </w:r>
          </w:p>
          <w:p>
            <w:pPr>
              <w:contextualSpacing/>
              <w:jc w:val="center"/>
              <w:rPr>
                <w:b/>
                <w:bCs/>
                <w:kern w:val="0"/>
                <w:szCs w:val="21"/>
              </w:rPr>
            </w:pPr>
            <w:r>
              <w:rPr>
                <w:rFonts w:hint="eastAsia"/>
                <w:b/>
                <w:bCs/>
                <w:kern w:val="0"/>
                <w:szCs w:val="21"/>
              </w:rPr>
              <w:t>表</w:t>
            </w:r>
            <w:r>
              <w:rPr>
                <w:b/>
                <w:bCs/>
                <w:kern w:val="0"/>
                <w:szCs w:val="21"/>
              </w:rPr>
              <w:t>1-2</w:t>
            </w:r>
            <w:r>
              <w:rPr>
                <w:rFonts w:hint="eastAsia"/>
                <w:b/>
                <w:bCs/>
                <w:kern w:val="0"/>
                <w:szCs w:val="21"/>
              </w:rPr>
              <w:t>项目</w:t>
            </w:r>
            <w:r>
              <w:rPr>
                <w:b/>
                <w:bCs/>
                <w:kern w:val="0"/>
                <w:szCs w:val="21"/>
              </w:rPr>
              <w:t>与《榆林市投资项目选址“一张图”控制线检测报告》</w:t>
            </w:r>
          </w:p>
          <w:p>
            <w:pPr>
              <w:contextualSpacing/>
              <w:jc w:val="center"/>
              <w:rPr>
                <w:b/>
                <w:bCs/>
                <w:kern w:val="0"/>
                <w:szCs w:val="21"/>
              </w:rPr>
            </w:pPr>
            <w:r>
              <w:rPr>
                <w:b/>
                <w:bCs/>
                <w:kern w:val="0"/>
                <w:szCs w:val="21"/>
              </w:rPr>
              <w:t>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725"/>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控制线名称</w:t>
                  </w:r>
                </w:p>
              </w:tc>
              <w:tc>
                <w:tcPr>
                  <w:tcW w:w="2026" w:type="pct"/>
                  <w:shd w:val="clear" w:color="auto" w:fill="auto"/>
                  <w:vAlign w:val="center"/>
                </w:tcPr>
                <w:p>
                  <w:pPr>
                    <w:contextualSpacing/>
                    <w:jc w:val="center"/>
                    <w:rPr>
                      <w:kern w:val="0"/>
                      <w:szCs w:val="21"/>
                    </w:rPr>
                  </w:pPr>
                  <w:r>
                    <w:rPr>
                      <w:rFonts w:hint="eastAsia"/>
                      <w:kern w:val="0"/>
                      <w:szCs w:val="21"/>
                    </w:rPr>
                    <w:t>检测结果及意见</w:t>
                  </w:r>
                </w:p>
              </w:tc>
              <w:tc>
                <w:tcPr>
                  <w:tcW w:w="1460" w:type="pct"/>
                  <w:vAlign w:val="center"/>
                </w:tcPr>
                <w:p>
                  <w:pPr>
                    <w:contextualSpacing/>
                    <w:jc w:val="center"/>
                    <w:rPr>
                      <w:kern w:val="0"/>
                      <w:szCs w:val="21"/>
                    </w:rPr>
                  </w:pPr>
                  <w:r>
                    <w:rPr>
                      <w:rFonts w:hint="eastAsia"/>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榆阳机场净空区域</w:t>
                  </w:r>
                </w:p>
              </w:tc>
              <w:tc>
                <w:tcPr>
                  <w:tcW w:w="2026" w:type="pct"/>
                  <w:shd w:val="clear" w:color="auto" w:fill="auto"/>
                  <w:vAlign w:val="center"/>
                </w:tcPr>
                <w:p>
                  <w:pPr>
                    <w:contextualSpacing/>
                    <w:jc w:val="center"/>
                    <w:rPr>
                      <w:kern w:val="0"/>
                      <w:szCs w:val="21"/>
                    </w:rPr>
                  </w:pPr>
                  <w:r>
                    <w:rPr>
                      <w:rFonts w:hint="eastAsia"/>
                      <w:kern w:val="0"/>
                      <w:szCs w:val="21"/>
                    </w:rPr>
                    <w:t>不涉及</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矿业权</w:t>
                  </w:r>
                </w:p>
              </w:tc>
              <w:tc>
                <w:tcPr>
                  <w:tcW w:w="2026" w:type="pct"/>
                  <w:shd w:val="clear" w:color="auto" w:fill="auto"/>
                  <w:vAlign w:val="center"/>
                </w:tcPr>
                <w:p>
                  <w:pPr>
                    <w:contextualSpacing/>
                    <w:jc w:val="center"/>
                    <w:rPr>
                      <w:kern w:val="0"/>
                      <w:szCs w:val="21"/>
                    </w:rPr>
                  </w:pPr>
                  <w:r>
                    <w:rPr>
                      <w:rFonts w:hint="eastAsia"/>
                      <w:kern w:val="0"/>
                      <w:szCs w:val="21"/>
                    </w:rPr>
                    <w:t>不涉及</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林地规划</w:t>
                  </w:r>
                </w:p>
              </w:tc>
              <w:tc>
                <w:tcPr>
                  <w:tcW w:w="2026" w:type="pct"/>
                  <w:shd w:val="clear" w:color="auto" w:fill="auto"/>
                  <w:vAlign w:val="center"/>
                </w:tcPr>
                <w:p>
                  <w:pPr>
                    <w:contextualSpacing/>
                    <w:jc w:val="center"/>
                    <w:rPr>
                      <w:kern w:val="0"/>
                      <w:szCs w:val="21"/>
                    </w:rPr>
                  </w:pPr>
                  <w:r>
                    <w:rPr>
                      <w:rFonts w:hint="eastAsia"/>
                      <w:kern w:val="0"/>
                      <w:szCs w:val="21"/>
                    </w:rPr>
                    <w:t>不涉及林地</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文物保护线</w:t>
                  </w:r>
                </w:p>
              </w:tc>
              <w:tc>
                <w:tcPr>
                  <w:tcW w:w="2026" w:type="pct"/>
                  <w:shd w:val="clear" w:color="auto" w:fill="auto"/>
                  <w:vAlign w:val="center"/>
                </w:tcPr>
                <w:p>
                  <w:pPr>
                    <w:contextualSpacing/>
                    <w:jc w:val="center"/>
                    <w:rPr>
                      <w:kern w:val="0"/>
                      <w:szCs w:val="21"/>
                    </w:rPr>
                  </w:pPr>
                  <w:r>
                    <w:rPr>
                      <w:rFonts w:hint="eastAsia"/>
                      <w:kern w:val="0"/>
                      <w:szCs w:val="21"/>
                    </w:rPr>
                    <w:t>不涉及</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城镇开发边界</w:t>
                  </w:r>
                </w:p>
              </w:tc>
              <w:tc>
                <w:tcPr>
                  <w:tcW w:w="2026" w:type="pct"/>
                  <w:shd w:val="clear" w:color="auto" w:fill="auto"/>
                  <w:vAlign w:val="center"/>
                </w:tcPr>
                <w:p>
                  <w:pPr>
                    <w:contextualSpacing/>
                    <w:jc w:val="center"/>
                    <w:rPr>
                      <w:kern w:val="0"/>
                      <w:szCs w:val="21"/>
                    </w:rPr>
                  </w:pPr>
                  <w:r>
                    <w:rPr>
                      <w:rFonts w:hint="eastAsia"/>
                      <w:kern w:val="0"/>
                      <w:szCs w:val="21"/>
                    </w:rPr>
                    <w:t>项目位于城镇开发区域范围内</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生态红线</w:t>
                  </w:r>
                </w:p>
              </w:tc>
              <w:tc>
                <w:tcPr>
                  <w:tcW w:w="2026" w:type="pct"/>
                  <w:shd w:val="clear" w:color="auto" w:fill="auto"/>
                  <w:vAlign w:val="center"/>
                </w:tcPr>
                <w:p>
                  <w:pPr>
                    <w:contextualSpacing/>
                    <w:jc w:val="center"/>
                    <w:rPr>
                      <w:kern w:val="0"/>
                      <w:szCs w:val="21"/>
                    </w:rPr>
                  </w:pPr>
                  <w:r>
                    <w:rPr>
                      <w:rFonts w:hint="eastAsia"/>
                      <w:kern w:val="0"/>
                      <w:szCs w:val="21"/>
                    </w:rPr>
                    <w:t>不涉及</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永久基本农田</w:t>
                  </w:r>
                </w:p>
              </w:tc>
              <w:tc>
                <w:tcPr>
                  <w:tcW w:w="2026" w:type="pct"/>
                  <w:shd w:val="clear" w:color="auto" w:fill="auto"/>
                  <w:vAlign w:val="center"/>
                </w:tcPr>
                <w:p>
                  <w:pPr>
                    <w:contextualSpacing/>
                    <w:jc w:val="center"/>
                    <w:rPr>
                      <w:kern w:val="0"/>
                      <w:szCs w:val="21"/>
                    </w:rPr>
                  </w:pPr>
                  <w:r>
                    <w:rPr>
                      <w:rFonts w:hint="eastAsia"/>
                      <w:kern w:val="0"/>
                      <w:szCs w:val="21"/>
                    </w:rPr>
                    <w:t>不涉及</w:t>
                  </w:r>
                </w:p>
              </w:tc>
              <w:tc>
                <w:tcPr>
                  <w:tcW w:w="1460"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pct"/>
                  <w:shd w:val="clear" w:color="auto" w:fill="auto"/>
                  <w:vAlign w:val="center"/>
                </w:tcPr>
                <w:p>
                  <w:pPr>
                    <w:contextualSpacing/>
                    <w:jc w:val="center"/>
                    <w:rPr>
                      <w:kern w:val="0"/>
                      <w:szCs w:val="21"/>
                    </w:rPr>
                  </w:pPr>
                  <w:r>
                    <w:rPr>
                      <w:rFonts w:hint="eastAsia"/>
                      <w:kern w:val="0"/>
                      <w:szCs w:val="21"/>
                    </w:rPr>
                    <w:t>土地利用</w:t>
                  </w:r>
                </w:p>
              </w:tc>
              <w:tc>
                <w:tcPr>
                  <w:tcW w:w="2026" w:type="pct"/>
                  <w:shd w:val="clear" w:color="auto" w:fill="auto"/>
                  <w:vAlign w:val="center"/>
                </w:tcPr>
                <w:p>
                  <w:pPr>
                    <w:contextualSpacing/>
                    <w:jc w:val="center"/>
                    <w:rPr>
                      <w:kern w:val="0"/>
                      <w:szCs w:val="21"/>
                    </w:rPr>
                  </w:pPr>
                  <w:r>
                    <w:rPr>
                      <w:rFonts w:hint="eastAsia"/>
                      <w:kern w:val="0"/>
                      <w:szCs w:val="21"/>
                    </w:rPr>
                    <w:t>项目占地涉及旱地、其他林地和建设用地</w:t>
                  </w:r>
                </w:p>
              </w:tc>
              <w:tc>
                <w:tcPr>
                  <w:tcW w:w="1460" w:type="pct"/>
                  <w:vAlign w:val="center"/>
                </w:tcPr>
                <w:p>
                  <w:pPr>
                    <w:contextualSpacing/>
                    <w:jc w:val="center"/>
                    <w:rPr>
                      <w:kern w:val="0"/>
                      <w:szCs w:val="21"/>
                    </w:rPr>
                  </w:pPr>
                  <w:r>
                    <w:rPr>
                      <w:rFonts w:hint="eastAsia"/>
                      <w:kern w:val="0"/>
                      <w:szCs w:val="21"/>
                    </w:rPr>
                    <w:t>根据子洲县自然资源和规划局关于本项目用地情况的说明，本项目用地性质确定为医疗卫生用地（详见附件3）。</w:t>
                  </w:r>
                </w:p>
              </w:tc>
            </w:tr>
          </w:tbl>
          <w:p>
            <w:pPr>
              <w:spacing w:line="360" w:lineRule="auto"/>
              <w:ind w:firstLine="480" w:firstLineChars="200"/>
              <w:contextualSpacing/>
              <w:rPr>
                <w:kern w:val="0"/>
                <w:sz w:val="24"/>
              </w:rPr>
            </w:pPr>
            <w:r>
              <w:rPr>
                <w:kern w:val="0"/>
                <w:sz w:val="24"/>
              </w:rPr>
              <w:t>4、</w:t>
            </w:r>
            <w:r>
              <w:rPr>
                <w:rFonts w:hint="eastAsia"/>
                <w:kern w:val="0"/>
                <w:sz w:val="24"/>
              </w:rPr>
              <w:t>与</w:t>
            </w:r>
            <w:r>
              <w:rPr>
                <w:kern w:val="0"/>
                <w:sz w:val="24"/>
              </w:rPr>
              <w:t>“三线一单”符合性分析</w:t>
            </w:r>
          </w:p>
          <w:p>
            <w:pPr>
              <w:keepNext/>
              <w:keepLines/>
              <w:spacing w:line="360" w:lineRule="auto"/>
              <w:ind w:firstLine="480" w:firstLineChars="200"/>
              <w:rPr>
                <w:sz w:val="24"/>
              </w:rPr>
            </w:pPr>
            <w:r>
              <w:rPr>
                <w:rFonts w:hint="eastAsia"/>
                <w:sz w:val="24"/>
              </w:rPr>
              <w:t>本项目位于陕西省榆林市子洲县马蹄沟镇，根据陕西省生态环境厅办公室关于印发《陕西省“三线一单”生态环境分区管控应用技术指南：环境影响评价(试行)》的通知(陕环办[2022] 76 号)，本项目范围涉及的生态环境管控单元准入清单应按照榆林市人民政府关于印发《榆林市“三线一单”生态环境分区管控方案》的通</w:t>
            </w:r>
            <w:r>
              <w:rPr>
                <w:sz w:val="24"/>
              </w:rPr>
              <w:t>知（榆林政发〔2021〕17号）相关管控要求进行对照，项目属于</w:t>
            </w:r>
            <w:r>
              <w:rPr>
                <w:rFonts w:hint="eastAsia"/>
                <w:sz w:val="24"/>
              </w:rPr>
              <w:t>一般</w:t>
            </w:r>
            <w:r>
              <w:rPr>
                <w:sz w:val="24"/>
              </w:rPr>
              <w:t>管控区，见表1-3。本项目与环境管控单位对照示意图见图1，与生态环境管控单元准入清单相符性分析见表1-4。</w:t>
            </w:r>
          </w:p>
          <w:p>
            <w:pPr>
              <w:pStyle w:val="86"/>
              <w:snapToGrid w:val="0"/>
              <w:jc w:val="center"/>
              <w:rPr>
                <w:b/>
                <w:bCs/>
                <w:spacing w:val="-6"/>
                <w:szCs w:val="21"/>
              </w:rPr>
            </w:pPr>
            <w:r>
              <w:rPr>
                <w:rFonts w:hint="eastAsia" w:ascii="Times New Roman" w:hAnsi="Times New Roman" w:cs="Times New Roman"/>
                <w:b/>
                <w:bCs/>
                <w:spacing w:val="-6"/>
                <w:szCs w:val="21"/>
                <w:lang w:val="en-US"/>
              </w:rPr>
              <w:t>表1</w:t>
            </w:r>
            <w:r>
              <w:rPr>
                <w:rFonts w:ascii="Times New Roman" w:hAnsi="Times New Roman" w:cs="Times New Roman"/>
                <w:b/>
                <w:bCs/>
                <w:spacing w:val="-6"/>
                <w:szCs w:val="21"/>
                <w:lang w:val="en-US"/>
              </w:rPr>
              <w:t>-3</w:t>
            </w:r>
            <w:r>
              <w:rPr>
                <w:rFonts w:hint="eastAsia"/>
                <w:b/>
                <w:bCs/>
                <w:spacing w:val="-6"/>
                <w:szCs w:val="21"/>
                <w:lang w:val="en-US"/>
              </w:rPr>
              <w:t>项目与陕西省“三线一单”</w:t>
            </w:r>
            <w:r>
              <w:rPr>
                <w:rFonts w:hint="eastAsia"/>
                <w:b/>
                <w:bCs/>
                <w:spacing w:val="-6"/>
                <w:szCs w:val="21"/>
              </w:rPr>
              <w:t>生态环境分区管控应用技术指南符合性分析</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470"/>
              <w:gridCol w:w="488"/>
              <w:gridCol w:w="230"/>
              <w:gridCol w:w="735"/>
              <w:gridCol w:w="432"/>
              <w:gridCol w:w="1446"/>
              <w:gridCol w:w="1131"/>
              <w:gridCol w:w="384"/>
              <w:gridCol w:w="72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650" w:type="dxa"/>
                  <w:gridSpan w:val="10"/>
                  <w:vAlign w:val="center"/>
                </w:tcPr>
                <w:p>
                  <w:pPr>
                    <w:tabs>
                      <w:tab w:val="left" w:pos="0"/>
                    </w:tabs>
                    <w:adjustRightInd w:val="0"/>
                    <w:snapToGrid w:val="0"/>
                    <w:jc w:val="center"/>
                    <w:rPr>
                      <w:b/>
                      <w:bCs/>
                      <w:szCs w:val="21"/>
                    </w:rPr>
                  </w:pPr>
                  <w:r>
                    <w:rPr>
                      <w:rFonts w:hint="eastAsia"/>
                      <w:b/>
                      <w:bCs/>
                      <w:szCs w:val="21"/>
                    </w:rPr>
                    <w:t>一表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1" w:type="dxa"/>
                  <w:vAlign w:val="center"/>
                </w:tcPr>
                <w:p>
                  <w:pPr>
                    <w:tabs>
                      <w:tab w:val="left" w:pos="0"/>
                    </w:tabs>
                    <w:adjustRightInd w:val="0"/>
                    <w:snapToGrid w:val="0"/>
                    <w:jc w:val="center"/>
                    <w:rPr>
                      <w:b/>
                      <w:bCs/>
                      <w:szCs w:val="21"/>
                    </w:rPr>
                  </w:pPr>
                  <w:r>
                    <w:rPr>
                      <w:rFonts w:hint="eastAsia"/>
                      <w:b/>
                      <w:bCs/>
                      <w:szCs w:val="21"/>
                    </w:rPr>
                    <w:t>市</w:t>
                  </w:r>
                  <w:r>
                    <w:rPr>
                      <w:rFonts w:hint="eastAsia"/>
                      <w:b/>
                      <w:bCs/>
                      <w:spacing w:val="-28"/>
                      <w:szCs w:val="21"/>
                    </w:rPr>
                    <w:t>（区）</w:t>
                  </w:r>
                </w:p>
              </w:tc>
              <w:tc>
                <w:tcPr>
                  <w:tcW w:w="465" w:type="dxa"/>
                  <w:vAlign w:val="center"/>
                </w:tcPr>
                <w:p>
                  <w:pPr>
                    <w:tabs>
                      <w:tab w:val="left" w:pos="0"/>
                    </w:tabs>
                    <w:adjustRightInd w:val="0"/>
                    <w:snapToGrid w:val="0"/>
                    <w:jc w:val="center"/>
                    <w:rPr>
                      <w:b/>
                      <w:bCs/>
                      <w:szCs w:val="21"/>
                    </w:rPr>
                  </w:pPr>
                  <w:r>
                    <w:rPr>
                      <w:rFonts w:hint="eastAsia"/>
                      <w:b/>
                      <w:bCs/>
                      <w:szCs w:val="21"/>
                    </w:rPr>
                    <w:t>区县</w:t>
                  </w:r>
                </w:p>
              </w:tc>
              <w:tc>
                <w:tcPr>
                  <w:tcW w:w="709" w:type="dxa"/>
                  <w:gridSpan w:val="2"/>
                  <w:vAlign w:val="center"/>
                </w:tcPr>
                <w:p>
                  <w:pPr>
                    <w:tabs>
                      <w:tab w:val="left" w:pos="0"/>
                    </w:tabs>
                    <w:adjustRightInd w:val="0"/>
                    <w:snapToGrid w:val="0"/>
                    <w:jc w:val="center"/>
                    <w:rPr>
                      <w:b/>
                      <w:bCs/>
                      <w:szCs w:val="21"/>
                    </w:rPr>
                  </w:pPr>
                  <w:r>
                    <w:rPr>
                      <w:rFonts w:hint="eastAsia"/>
                      <w:b/>
                      <w:bCs/>
                      <w:szCs w:val="21"/>
                    </w:rPr>
                    <w:t>环境管控单元名称</w:t>
                  </w:r>
                </w:p>
              </w:tc>
              <w:tc>
                <w:tcPr>
                  <w:tcW w:w="727" w:type="dxa"/>
                  <w:vAlign w:val="center"/>
                </w:tcPr>
                <w:p>
                  <w:pPr>
                    <w:tabs>
                      <w:tab w:val="left" w:pos="0"/>
                    </w:tabs>
                    <w:adjustRightInd w:val="0"/>
                    <w:snapToGrid w:val="0"/>
                    <w:jc w:val="center"/>
                    <w:rPr>
                      <w:b/>
                      <w:bCs/>
                      <w:szCs w:val="21"/>
                    </w:rPr>
                  </w:pPr>
                  <w:r>
                    <w:rPr>
                      <w:rFonts w:hint="eastAsia"/>
                      <w:b/>
                      <w:bCs/>
                      <w:szCs w:val="21"/>
                    </w:rPr>
                    <w:t>单元要素属性</w:t>
                  </w:r>
                </w:p>
              </w:tc>
              <w:tc>
                <w:tcPr>
                  <w:tcW w:w="425" w:type="dxa"/>
                  <w:vAlign w:val="center"/>
                </w:tcPr>
                <w:p>
                  <w:pPr>
                    <w:tabs>
                      <w:tab w:val="left" w:pos="0"/>
                    </w:tabs>
                    <w:adjustRightInd w:val="0"/>
                    <w:snapToGrid w:val="0"/>
                    <w:jc w:val="center"/>
                    <w:rPr>
                      <w:b/>
                      <w:bCs/>
                      <w:szCs w:val="21"/>
                    </w:rPr>
                  </w:pPr>
                  <w:r>
                    <w:rPr>
                      <w:rFonts w:hint="eastAsia"/>
                      <w:b/>
                      <w:bCs/>
                      <w:szCs w:val="21"/>
                    </w:rPr>
                    <w:t>管控单元分类</w:t>
                  </w:r>
                </w:p>
              </w:tc>
              <w:tc>
                <w:tcPr>
                  <w:tcW w:w="1429" w:type="dxa"/>
                  <w:vAlign w:val="center"/>
                </w:tcPr>
                <w:p>
                  <w:pPr>
                    <w:tabs>
                      <w:tab w:val="left" w:pos="0"/>
                    </w:tabs>
                    <w:adjustRightInd w:val="0"/>
                    <w:snapToGrid w:val="0"/>
                    <w:jc w:val="center"/>
                    <w:rPr>
                      <w:b/>
                      <w:bCs/>
                      <w:szCs w:val="21"/>
                      <w:lang w:val="zh-CN"/>
                    </w:rPr>
                  </w:pPr>
                  <w:r>
                    <w:rPr>
                      <w:b/>
                      <w:bCs/>
                      <w:szCs w:val="21"/>
                    </w:rPr>
                    <w:t>管控要求</w:t>
                  </w:r>
                </w:p>
              </w:tc>
              <w:tc>
                <w:tcPr>
                  <w:tcW w:w="1118" w:type="dxa"/>
                  <w:vAlign w:val="center"/>
                </w:tcPr>
                <w:p>
                  <w:pPr>
                    <w:tabs>
                      <w:tab w:val="left" w:pos="0"/>
                    </w:tabs>
                    <w:adjustRightInd w:val="0"/>
                    <w:snapToGrid w:val="0"/>
                    <w:jc w:val="center"/>
                    <w:rPr>
                      <w:b/>
                      <w:bCs/>
                      <w:szCs w:val="21"/>
                    </w:rPr>
                  </w:pPr>
                  <w:r>
                    <w:rPr>
                      <w:rFonts w:hint="eastAsia"/>
                      <w:b/>
                      <w:bCs/>
                      <w:szCs w:val="21"/>
                    </w:rPr>
                    <w:t>面积</w:t>
                  </w:r>
                </w:p>
              </w:tc>
              <w:tc>
                <w:tcPr>
                  <w:tcW w:w="1096" w:type="dxa"/>
                  <w:gridSpan w:val="2"/>
                  <w:vAlign w:val="center"/>
                </w:tcPr>
                <w:p>
                  <w:pPr>
                    <w:tabs>
                      <w:tab w:val="left" w:pos="0"/>
                    </w:tabs>
                    <w:adjustRightInd w:val="0"/>
                    <w:snapToGrid w:val="0"/>
                    <w:jc w:val="center"/>
                    <w:rPr>
                      <w:b/>
                      <w:bCs/>
                      <w:szCs w:val="21"/>
                    </w:rPr>
                  </w:pPr>
                  <w:r>
                    <w:rPr>
                      <w:rFonts w:hint="eastAsia"/>
                      <w:b/>
                      <w:bCs/>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681" w:type="dxa"/>
                  <w:vMerge w:val="restart"/>
                  <w:vAlign w:val="center"/>
                </w:tcPr>
                <w:p>
                  <w:pPr>
                    <w:tabs>
                      <w:tab w:val="left" w:pos="0"/>
                    </w:tabs>
                    <w:adjustRightInd w:val="0"/>
                    <w:snapToGrid w:val="0"/>
                    <w:jc w:val="center"/>
                    <w:rPr>
                      <w:szCs w:val="21"/>
                    </w:rPr>
                  </w:pPr>
                  <w:r>
                    <w:rPr>
                      <w:rFonts w:hint="eastAsia"/>
                      <w:szCs w:val="21"/>
                    </w:rPr>
                    <w:t>榆林市</w:t>
                  </w:r>
                </w:p>
              </w:tc>
              <w:tc>
                <w:tcPr>
                  <w:tcW w:w="465" w:type="dxa"/>
                  <w:vMerge w:val="restart"/>
                  <w:vAlign w:val="center"/>
                </w:tcPr>
                <w:p>
                  <w:pPr>
                    <w:tabs>
                      <w:tab w:val="left" w:pos="0"/>
                    </w:tabs>
                    <w:adjustRightInd w:val="0"/>
                    <w:snapToGrid w:val="0"/>
                    <w:jc w:val="center"/>
                    <w:rPr>
                      <w:szCs w:val="21"/>
                    </w:rPr>
                  </w:pPr>
                  <w:r>
                    <w:rPr>
                      <w:rFonts w:hint="eastAsia"/>
                      <w:szCs w:val="21"/>
                    </w:rPr>
                    <w:t>子洲县</w:t>
                  </w:r>
                </w:p>
              </w:tc>
              <w:tc>
                <w:tcPr>
                  <w:tcW w:w="709" w:type="dxa"/>
                  <w:gridSpan w:val="2"/>
                  <w:vMerge w:val="restart"/>
                  <w:vAlign w:val="center"/>
                </w:tcPr>
                <w:p>
                  <w:pPr>
                    <w:tabs>
                      <w:tab w:val="left" w:pos="0"/>
                    </w:tabs>
                    <w:adjustRightInd w:val="0"/>
                    <w:snapToGrid w:val="0"/>
                    <w:jc w:val="center"/>
                    <w:rPr>
                      <w:szCs w:val="21"/>
                    </w:rPr>
                  </w:pPr>
                  <w:r>
                    <w:rPr>
                      <w:rFonts w:hint="eastAsia"/>
                      <w:szCs w:val="21"/>
                    </w:rPr>
                    <w:t>管控单元</w:t>
                  </w:r>
                </w:p>
              </w:tc>
              <w:tc>
                <w:tcPr>
                  <w:tcW w:w="727" w:type="dxa"/>
                  <w:vMerge w:val="restart"/>
                  <w:vAlign w:val="center"/>
                </w:tcPr>
                <w:p>
                  <w:pPr>
                    <w:tabs>
                      <w:tab w:val="left" w:pos="0"/>
                    </w:tabs>
                    <w:adjustRightInd w:val="0"/>
                    <w:snapToGrid w:val="0"/>
                    <w:jc w:val="center"/>
                    <w:rPr>
                      <w:szCs w:val="21"/>
                    </w:rPr>
                  </w:pPr>
                  <w:r>
                    <w:rPr>
                      <w:rFonts w:hint="eastAsia"/>
                      <w:szCs w:val="21"/>
                    </w:rPr>
                    <w:t>-</w:t>
                  </w:r>
                </w:p>
              </w:tc>
              <w:tc>
                <w:tcPr>
                  <w:tcW w:w="425" w:type="dxa"/>
                  <w:vMerge w:val="restart"/>
                  <w:vAlign w:val="center"/>
                </w:tcPr>
                <w:p>
                  <w:pPr>
                    <w:tabs>
                      <w:tab w:val="left" w:pos="0"/>
                    </w:tabs>
                    <w:adjustRightInd w:val="0"/>
                    <w:snapToGrid w:val="0"/>
                    <w:jc w:val="center"/>
                    <w:rPr>
                      <w:szCs w:val="21"/>
                    </w:rPr>
                  </w:pPr>
                  <w:r>
                    <w:rPr>
                      <w:rFonts w:hint="eastAsia"/>
                      <w:szCs w:val="21"/>
                    </w:rPr>
                    <w:t>一般</w:t>
                  </w:r>
                  <w:r>
                    <w:rPr>
                      <w:szCs w:val="21"/>
                    </w:rPr>
                    <w:t>管控单元</w:t>
                  </w:r>
                </w:p>
              </w:tc>
              <w:tc>
                <w:tcPr>
                  <w:tcW w:w="1429" w:type="dxa"/>
                  <w:vAlign w:val="center"/>
                </w:tcPr>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1229" w:type="dxa"/>
                      </w:tcPr>
                      <w:p>
                        <w:pPr>
                          <w:pStyle w:val="90"/>
                          <w:kinsoku w:val="0"/>
                          <w:overflowPunct w:val="0"/>
                          <w:autoSpaceDE w:val="0"/>
                          <w:autoSpaceDN w:val="0"/>
                          <w:adjustRightInd w:val="0"/>
                          <w:snapToGrid w:val="0"/>
                          <w:jc w:val="both"/>
                          <w:rPr>
                            <w:rFonts w:ascii="宋体" w:hAnsi="宋体"/>
                          </w:rPr>
                        </w:pPr>
                        <w:r>
                          <w:rPr>
                            <w:rFonts w:hint="eastAsia" w:ascii="宋体" w:hAnsi="宋体"/>
                          </w:rPr>
                          <w:t>空间布局约束：</w:t>
                        </w:r>
                        <w:r>
                          <w:rPr>
                            <w:rFonts w:ascii="宋体" w:hAnsi="宋体"/>
                          </w:rPr>
                          <w:t>执行全省、陕</w:t>
                        </w:r>
                        <w:r>
                          <w:rPr>
                            <w:rFonts w:ascii="宋体" w:hAnsi="宋体"/>
                          </w:rPr>
                          <w:cr/>
                        </w:r>
                        <w:r>
                          <w:rPr>
                            <w:rFonts w:ascii="宋体" w:hAnsi="宋体"/>
                          </w:rPr>
                          <w:t>地区</w:t>
                        </w:r>
                        <w:r>
                          <w:rPr>
                            <w:rFonts w:ascii="宋体" w:hAnsi="宋体"/>
                          </w:rPr>
                          <w:cr/>
                        </w:r>
                        <w:r>
                          <w:rPr>
                            <w:rFonts w:ascii="宋体" w:hAnsi="宋体"/>
                          </w:rPr>
                          <w:t>榆林市生态环境总体准入清单中空间布局约束相关要求。</w:t>
                        </w:r>
                      </w:p>
                    </w:tc>
                  </w:tr>
                </w:tbl>
                <w:p>
                  <w:pPr>
                    <w:pStyle w:val="90"/>
                    <w:kinsoku w:val="0"/>
                    <w:overflowPunct w:val="0"/>
                    <w:autoSpaceDE w:val="0"/>
                    <w:autoSpaceDN w:val="0"/>
                    <w:adjustRightInd w:val="0"/>
                    <w:snapToGrid w:val="0"/>
                    <w:spacing w:line="288" w:lineRule="auto"/>
                  </w:pPr>
                </w:p>
              </w:tc>
              <w:tc>
                <w:tcPr>
                  <w:tcW w:w="1118" w:type="dxa"/>
                  <w:vMerge w:val="restart"/>
                  <w:vAlign w:val="center"/>
                </w:tcPr>
                <w:p>
                  <w:pPr>
                    <w:tabs>
                      <w:tab w:val="left" w:pos="0"/>
                    </w:tabs>
                    <w:adjustRightInd w:val="0"/>
                    <w:snapToGrid w:val="0"/>
                    <w:jc w:val="center"/>
                    <w:rPr>
                      <w:szCs w:val="21"/>
                    </w:rPr>
                  </w:pPr>
                  <w:r>
                    <w:rPr>
                      <w:rFonts w:hint="eastAsia"/>
                      <w:spacing w:val="-17"/>
                      <w:szCs w:val="21"/>
                    </w:rPr>
                    <w:t>9323.144</w:t>
                  </w:r>
                  <w:r>
                    <w:rPr>
                      <w:rFonts w:hint="eastAsia"/>
                      <w:szCs w:val="21"/>
                    </w:rPr>
                    <w:t>m</w:t>
                  </w:r>
                  <w:r>
                    <w:rPr>
                      <w:rFonts w:hint="eastAsia"/>
                      <w:szCs w:val="21"/>
                      <w:vertAlign w:val="superscript"/>
                    </w:rPr>
                    <w:t>2</w:t>
                  </w:r>
                </w:p>
              </w:tc>
              <w:tc>
                <w:tcPr>
                  <w:tcW w:w="1096" w:type="dxa"/>
                  <w:gridSpan w:val="2"/>
                  <w:vAlign w:val="center"/>
                </w:tcPr>
                <w:p>
                  <w:pPr>
                    <w:pStyle w:val="90"/>
                    <w:kinsoku w:val="0"/>
                    <w:overflowPunct w:val="0"/>
                    <w:autoSpaceDE w:val="0"/>
                    <w:autoSpaceDN w:val="0"/>
                    <w:adjustRightInd w:val="0"/>
                    <w:snapToGrid w:val="0"/>
                    <w:spacing w:line="288" w:lineRule="auto"/>
                  </w:pPr>
                  <w:r>
                    <w:rPr>
                      <w:spacing w:val="-6"/>
                    </w:rPr>
                    <w:t>本项目</w:t>
                  </w:r>
                  <w:r>
                    <w:rPr>
                      <w:rFonts w:hint="eastAsia"/>
                      <w:spacing w:val="-6"/>
                    </w:rPr>
                    <w:t>为</w:t>
                  </w:r>
                  <w:r>
                    <w:rPr>
                      <w:rFonts w:hint="eastAsia"/>
                    </w:rPr>
                    <w:t>医院建设项目，</w:t>
                  </w:r>
                  <w:r>
                    <w:rPr>
                      <w:rFonts w:hint="eastAsia"/>
                      <w:kern w:val="2"/>
                    </w:rPr>
                    <w:t>运营</w:t>
                  </w:r>
                  <w:r>
                    <w:rPr>
                      <w:spacing w:val="-6"/>
                    </w:rPr>
                    <w:t>过程中</w:t>
                  </w:r>
                  <w:r>
                    <w:rPr>
                      <w:rFonts w:hint="eastAsia" w:ascii="宋体" w:hAnsi="宋体"/>
                      <w:kern w:val="2"/>
                    </w:rPr>
                    <w:t>产生的</w:t>
                  </w:r>
                  <w:r>
                    <w:rPr>
                      <w:kern w:val="2"/>
                    </w:rPr>
                    <w:t>污染物严格执行相关标准要求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81" w:type="dxa"/>
                  <w:vMerge w:val="continue"/>
                  <w:vAlign w:val="center"/>
                </w:tcPr>
                <w:p>
                  <w:pPr>
                    <w:tabs>
                      <w:tab w:val="left" w:pos="0"/>
                    </w:tabs>
                    <w:adjustRightInd w:val="0"/>
                    <w:snapToGrid w:val="0"/>
                    <w:jc w:val="center"/>
                    <w:rPr>
                      <w:szCs w:val="21"/>
                    </w:rPr>
                  </w:pPr>
                </w:p>
              </w:tc>
              <w:tc>
                <w:tcPr>
                  <w:tcW w:w="465" w:type="dxa"/>
                  <w:vMerge w:val="continue"/>
                  <w:vAlign w:val="center"/>
                </w:tcPr>
                <w:p>
                  <w:pPr>
                    <w:tabs>
                      <w:tab w:val="left" w:pos="0"/>
                    </w:tabs>
                    <w:adjustRightInd w:val="0"/>
                    <w:snapToGrid w:val="0"/>
                    <w:jc w:val="center"/>
                    <w:rPr>
                      <w:szCs w:val="21"/>
                    </w:rPr>
                  </w:pPr>
                </w:p>
              </w:tc>
              <w:tc>
                <w:tcPr>
                  <w:tcW w:w="709" w:type="dxa"/>
                  <w:gridSpan w:val="2"/>
                  <w:vMerge w:val="continue"/>
                  <w:vAlign w:val="center"/>
                </w:tcPr>
                <w:p>
                  <w:pPr>
                    <w:tabs>
                      <w:tab w:val="left" w:pos="0"/>
                    </w:tabs>
                    <w:adjustRightInd w:val="0"/>
                    <w:snapToGrid w:val="0"/>
                    <w:jc w:val="center"/>
                    <w:rPr>
                      <w:szCs w:val="21"/>
                    </w:rPr>
                  </w:pPr>
                </w:p>
              </w:tc>
              <w:tc>
                <w:tcPr>
                  <w:tcW w:w="727" w:type="dxa"/>
                  <w:vMerge w:val="continue"/>
                  <w:vAlign w:val="center"/>
                </w:tcPr>
                <w:p>
                  <w:pPr>
                    <w:tabs>
                      <w:tab w:val="left" w:pos="0"/>
                    </w:tabs>
                    <w:adjustRightInd w:val="0"/>
                    <w:snapToGrid w:val="0"/>
                    <w:jc w:val="center"/>
                    <w:rPr>
                      <w:szCs w:val="21"/>
                    </w:rPr>
                  </w:pPr>
                </w:p>
              </w:tc>
              <w:tc>
                <w:tcPr>
                  <w:tcW w:w="425" w:type="dxa"/>
                  <w:vMerge w:val="continue"/>
                  <w:vAlign w:val="center"/>
                </w:tcPr>
                <w:p>
                  <w:pPr>
                    <w:tabs>
                      <w:tab w:val="left" w:pos="0"/>
                    </w:tabs>
                    <w:adjustRightInd w:val="0"/>
                    <w:snapToGrid w:val="0"/>
                    <w:jc w:val="center"/>
                    <w:rPr>
                      <w:szCs w:val="21"/>
                    </w:rPr>
                  </w:pPr>
                </w:p>
              </w:tc>
              <w:tc>
                <w:tcPr>
                  <w:tcW w:w="1429" w:type="dxa"/>
                  <w:vAlign w:val="center"/>
                </w:tcPr>
                <w:p>
                  <w:pPr>
                    <w:pStyle w:val="90"/>
                    <w:kinsoku w:val="0"/>
                    <w:overflowPunct w:val="0"/>
                    <w:autoSpaceDE w:val="0"/>
                    <w:autoSpaceDN w:val="0"/>
                    <w:adjustRightInd w:val="0"/>
                    <w:snapToGrid w:val="0"/>
                    <w:spacing w:line="288" w:lineRule="auto"/>
                  </w:pPr>
                  <w:r>
                    <w:rPr>
                      <w:rFonts w:hint="eastAsia"/>
                    </w:rPr>
                    <w:t>污染物排放管控：无</w:t>
                  </w:r>
                </w:p>
              </w:tc>
              <w:tc>
                <w:tcPr>
                  <w:tcW w:w="1118" w:type="dxa"/>
                  <w:vMerge w:val="continue"/>
                  <w:vAlign w:val="center"/>
                </w:tcPr>
                <w:p>
                  <w:pPr>
                    <w:tabs>
                      <w:tab w:val="left" w:pos="0"/>
                    </w:tabs>
                    <w:adjustRightInd w:val="0"/>
                    <w:snapToGrid w:val="0"/>
                    <w:jc w:val="center"/>
                    <w:rPr>
                      <w:spacing w:val="-17"/>
                      <w:szCs w:val="21"/>
                    </w:rPr>
                  </w:pPr>
                </w:p>
              </w:tc>
              <w:tc>
                <w:tcPr>
                  <w:tcW w:w="1096" w:type="dxa"/>
                  <w:gridSpan w:val="2"/>
                  <w:vAlign w:val="center"/>
                </w:tcPr>
                <w:p>
                  <w:pPr>
                    <w:pStyle w:val="90"/>
                    <w:kinsoku w:val="0"/>
                    <w:overflowPunct w:val="0"/>
                    <w:autoSpaceDE w:val="0"/>
                    <w:autoSpaceDN w:val="0"/>
                    <w:adjustRightInd w:val="0"/>
                    <w:snapToGrid w:val="0"/>
                    <w:spacing w:line="288" w:lineRule="auto"/>
                  </w:pPr>
                  <w: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81" w:type="dxa"/>
                  <w:vMerge w:val="continue"/>
                  <w:vAlign w:val="center"/>
                </w:tcPr>
                <w:p>
                  <w:pPr>
                    <w:tabs>
                      <w:tab w:val="left" w:pos="0"/>
                    </w:tabs>
                    <w:adjustRightInd w:val="0"/>
                    <w:snapToGrid w:val="0"/>
                    <w:jc w:val="center"/>
                    <w:rPr>
                      <w:szCs w:val="21"/>
                    </w:rPr>
                  </w:pPr>
                </w:p>
              </w:tc>
              <w:tc>
                <w:tcPr>
                  <w:tcW w:w="465" w:type="dxa"/>
                  <w:vMerge w:val="continue"/>
                  <w:vAlign w:val="center"/>
                </w:tcPr>
                <w:p>
                  <w:pPr>
                    <w:tabs>
                      <w:tab w:val="left" w:pos="0"/>
                    </w:tabs>
                    <w:adjustRightInd w:val="0"/>
                    <w:snapToGrid w:val="0"/>
                    <w:jc w:val="center"/>
                    <w:rPr>
                      <w:szCs w:val="21"/>
                    </w:rPr>
                  </w:pPr>
                </w:p>
              </w:tc>
              <w:tc>
                <w:tcPr>
                  <w:tcW w:w="709" w:type="dxa"/>
                  <w:gridSpan w:val="2"/>
                  <w:vMerge w:val="continue"/>
                  <w:vAlign w:val="center"/>
                </w:tcPr>
                <w:p>
                  <w:pPr>
                    <w:tabs>
                      <w:tab w:val="left" w:pos="0"/>
                    </w:tabs>
                    <w:adjustRightInd w:val="0"/>
                    <w:snapToGrid w:val="0"/>
                    <w:jc w:val="center"/>
                    <w:rPr>
                      <w:szCs w:val="21"/>
                    </w:rPr>
                  </w:pPr>
                </w:p>
              </w:tc>
              <w:tc>
                <w:tcPr>
                  <w:tcW w:w="727" w:type="dxa"/>
                  <w:vMerge w:val="continue"/>
                  <w:vAlign w:val="center"/>
                </w:tcPr>
                <w:p>
                  <w:pPr>
                    <w:tabs>
                      <w:tab w:val="left" w:pos="0"/>
                    </w:tabs>
                    <w:adjustRightInd w:val="0"/>
                    <w:snapToGrid w:val="0"/>
                    <w:jc w:val="center"/>
                    <w:rPr>
                      <w:szCs w:val="21"/>
                    </w:rPr>
                  </w:pPr>
                </w:p>
              </w:tc>
              <w:tc>
                <w:tcPr>
                  <w:tcW w:w="425" w:type="dxa"/>
                  <w:vMerge w:val="continue"/>
                  <w:vAlign w:val="center"/>
                </w:tcPr>
                <w:p>
                  <w:pPr>
                    <w:tabs>
                      <w:tab w:val="left" w:pos="0"/>
                    </w:tabs>
                    <w:adjustRightInd w:val="0"/>
                    <w:snapToGrid w:val="0"/>
                    <w:jc w:val="center"/>
                    <w:rPr>
                      <w:szCs w:val="21"/>
                    </w:rPr>
                  </w:pPr>
                </w:p>
              </w:tc>
              <w:tc>
                <w:tcPr>
                  <w:tcW w:w="1429" w:type="dxa"/>
                  <w:vAlign w:val="center"/>
                </w:tcPr>
                <w:p>
                  <w:pPr>
                    <w:pStyle w:val="90"/>
                    <w:kinsoku w:val="0"/>
                    <w:overflowPunct w:val="0"/>
                    <w:autoSpaceDE w:val="0"/>
                    <w:autoSpaceDN w:val="0"/>
                    <w:adjustRightInd w:val="0"/>
                    <w:snapToGrid w:val="0"/>
                    <w:spacing w:line="288" w:lineRule="auto"/>
                  </w:pPr>
                  <w:r>
                    <w:rPr>
                      <w:rFonts w:hint="eastAsia"/>
                    </w:rPr>
                    <w:t>资源利用效率要求：无</w:t>
                  </w:r>
                </w:p>
              </w:tc>
              <w:tc>
                <w:tcPr>
                  <w:tcW w:w="1118" w:type="dxa"/>
                  <w:vMerge w:val="continue"/>
                  <w:vAlign w:val="center"/>
                </w:tcPr>
                <w:p>
                  <w:pPr>
                    <w:tabs>
                      <w:tab w:val="left" w:pos="0"/>
                    </w:tabs>
                    <w:adjustRightInd w:val="0"/>
                    <w:snapToGrid w:val="0"/>
                    <w:jc w:val="center"/>
                    <w:rPr>
                      <w:spacing w:val="-17"/>
                      <w:szCs w:val="21"/>
                    </w:rPr>
                  </w:pPr>
                </w:p>
              </w:tc>
              <w:tc>
                <w:tcPr>
                  <w:tcW w:w="1096" w:type="dxa"/>
                  <w:gridSpan w:val="2"/>
                  <w:vAlign w:val="center"/>
                </w:tcPr>
                <w:p>
                  <w:pPr>
                    <w:pStyle w:val="90"/>
                    <w:kinsoku w:val="0"/>
                    <w:overflowPunct w:val="0"/>
                    <w:autoSpaceDE w:val="0"/>
                    <w:autoSpaceDN w:val="0"/>
                    <w:adjustRightInd w:val="0"/>
                    <w:snapToGrid w:val="0"/>
                    <w:spacing w:line="288" w:lineRule="auto"/>
                  </w:pPr>
                  <w: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50" w:type="dxa"/>
                  <w:gridSpan w:val="10"/>
                  <w:vAlign w:val="center"/>
                </w:tcPr>
                <w:p>
                  <w:pPr>
                    <w:tabs>
                      <w:tab w:val="left" w:pos="0"/>
                    </w:tabs>
                    <w:adjustRightInd w:val="0"/>
                    <w:snapToGrid w:val="0"/>
                    <w:jc w:val="center"/>
                    <w:rPr>
                      <w:b/>
                      <w:bCs/>
                      <w:spacing w:val="-17"/>
                      <w:szCs w:val="21"/>
                    </w:rPr>
                  </w:pPr>
                  <w:r>
                    <w:rPr>
                      <w:rFonts w:hint="eastAsia"/>
                      <w:b/>
                      <w:bCs/>
                      <w:spacing w:val="-17"/>
                      <w:szCs w:val="21"/>
                    </w:rPr>
                    <w:t>一图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57" w:hRule="atLeast"/>
                <w:jc w:val="center"/>
              </w:trPr>
              <w:tc>
                <w:tcPr>
                  <w:tcW w:w="6650" w:type="dxa"/>
                  <w:gridSpan w:val="10"/>
                  <w:vAlign w:val="center"/>
                </w:tcPr>
                <w:p>
                  <w:pPr>
                    <w:tabs>
                      <w:tab w:val="left" w:pos="0"/>
                    </w:tabs>
                    <w:adjustRightInd w:val="0"/>
                    <w:snapToGrid w:val="0"/>
                    <w:jc w:val="center"/>
                    <w:rPr>
                      <w:spacing w:val="-17"/>
                      <w:szCs w:val="21"/>
                    </w:rPr>
                  </w:pPr>
                  <w:r>
                    <w:rPr>
                      <w:spacing w:val="-17"/>
                      <w:szCs w:val="21"/>
                    </w:rPr>
                    <w:drawing>
                      <wp:inline distT="0" distB="0" distL="0" distR="0">
                        <wp:extent cx="3886200" cy="2941320"/>
                        <wp:effectExtent l="0" t="0" r="0" b="0"/>
                        <wp:docPr id="7" name="图片 7" descr="1687244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724462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86200" cy="2941320"/>
                                </a:xfrm>
                                <a:prstGeom prst="rect">
                                  <a:avLst/>
                                </a:prstGeom>
                                <a:noFill/>
                                <a:ln>
                                  <a:noFill/>
                                </a:ln>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650" w:type="dxa"/>
                  <w:gridSpan w:val="10"/>
                  <w:vAlign w:val="center"/>
                </w:tcPr>
                <w:p>
                  <w:pPr>
                    <w:tabs>
                      <w:tab w:val="left" w:pos="0"/>
                    </w:tabs>
                    <w:adjustRightInd w:val="0"/>
                    <w:snapToGrid w:val="0"/>
                    <w:jc w:val="center"/>
                    <w:rPr>
                      <w:b/>
                      <w:bCs/>
                      <w:spacing w:val="-17"/>
                      <w:szCs w:val="21"/>
                    </w:rPr>
                  </w:pPr>
                  <w:r>
                    <w:rPr>
                      <w:rFonts w:hint="eastAsia"/>
                      <w:b/>
                      <w:bCs/>
                      <w:spacing w:val="-17"/>
                      <w:szCs w:val="21"/>
                    </w:rPr>
                    <w:t>一说明</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28" w:type="dxa"/>
                  <w:gridSpan w:val="3"/>
                  <w:vAlign w:val="center"/>
                </w:tcPr>
                <w:p>
                  <w:pPr>
                    <w:tabs>
                      <w:tab w:val="left" w:pos="0"/>
                    </w:tabs>
                    <w:adjustRightInd w:val="0"/>
                    <w:snapToGrid w:val="0"/>
                    <w:jc w:val="center"/>
                    <w:rPr>
                      <w:b/>
                      <w:bCs/>
                      <w:spacing w:val="-17"/>
                      <w:szCs w:val="21"/>
                    </w:rPr>
                  </w:pPr>
                  <w:r>
                    <w:rPr>
                      <w:rFonts w:hint="eastAsia"/>
                      <w:szCs w:val="21"/>
                    </w:rPr>
                    <w:t>对照分析</w:t>
                  </w:r>
                </w:p>
              </w:tc>
              <w:tc>
                <w:tcPr>
                  <w:tcW w:w="4306" w:type="dxa"/>
                  <w:gridSpan w:val="6"/>
                  <w:vAlign w:val="center"/>
                </w:tcPr>
                <w:p>
                  <w:pPr>
                    <w:tabs>
                      <w:tab w:val="left" w:pos="0"/>
                    </w:tabs>
                    <w:adjustRightInd w:val="0"/>
                    <w:snapToGrid w:val="0"/>
                    <w:jc w:val="center"/>
                    <w:rPr>
                      <w:b/>
                      <w:bCs/>
                      <w:spacing w:val="-17"/>
                      <w:szCs w:val="21"/>
                    </w:rPr>
                  </w:pPr>
                  <w:r>
                    <w:rPr>
                      <w:rFonts w:hint="eastAsia"/>
                      <w:szCs w:val="21"/>
                    </w:rPr>
                    <w:t>符合性分析内容</w:t>
                  </w:r>
                </w:p>
              </w:tc>
              <w:tc>
                <w:tcPr>
                  <w:tcW w:w="716" w:type="dxa"/>
                  <w:vAlign w:val="center"/>
                </w:tcPr>
                <w:p>
                  <w:pPr>
                    <w:tabs>
                      <w:tab w:val="left" w:pos="0"/>
                    </w:tabs>
                    <w:adjustRightInd w:val="0"/>
                    <w:snapToGrid w:val="0"/>
                    <w:jc w:val="center"/>
                    <w:rPr>
                      <w:b/>
                      <w:bCs/>
                      <w:spacing w:val="-17"/>
                      <w:szCs w:val="21"/>
                    </w:rPr>
                  </w:pPr>
                  <w:r>
                    <w:rPr>
                      <w:rFonts w:hint="eastAsia"/>
                      <w:spacing w:val="-17"/>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28" w:type="dxa"/>
                  <w:gridSpan w:val="3"/>
                  <w:vAlign w:val="center"/>
                </w:tcPr>
                <w:p>
                  <w:pPr>
                    <w:tabs>
                      <w:tab w:val="left" w:pos="0"/>
                    </w:tabs>
                    <w:adjustRightInd w:val="0"/>
                    <w:snapToGrid w:val="0"/>
                    <w:jc w:val="center"/>
                    <w:rPr>
                      <w:szCs w:val="21"/>
                    </w:rPr>
                  </w:pPr>
                  <w:r>
                    <w:rPr>
                      <w:rFonts w:hint="eastAsia"/>
                      <w:kern w:val="0"/>
                      <w:szCs w:val="21"/>
                      <w:lang w:bidi="ar"/>
                    </w:rPr>
                    <w:t>各类生态环境敏感区对照分</w:t>
                  </w:r>
                  <w:r>
                    <w:rPr>
                      <w:rFonts w:hint="eastAsia"/>
                      <w:kern w:val="0"/>
                      <w:szCs w:val="21"/>
                      <w:lang w:bidi="ar"/>
                    </w:rPr>
                    <w:cr/>
                  </w:r>
                  <w:r>
                    <w:rPr>
                      <w:rFonts w:hint="eastAsia"/>
                      <w:kern w:val="0"/>
                      <w:szCs w:val="21"/>
                      <w:lang w:bidi="ar"/>
                    </w:rPr>
                    <w:t>析</w:t>
                  </w:r>
                </w:p>
              </w:tc>
              <w:tc>
                <w:tcPr>
                  <w:tcW w:w="4306" w:type="dxa"/>
                  <w:gridSpan w:val="6"/>
                  <w:vAlign w:val="center"/>
                </w:tcPr>
                <w:p>
                  <w:pPr>
                    <w:tabs>
                      <w:tab w:val="left" w:pos="0"/>
                    </w:tabs>
                    <w:adjustRightInd w:val="0"/>
                    <w:snapToGrid w:val="0"/>
                    <w:jc w:val="center"/>
                    <w:rPr>
                      <w:szCs w:val="21"/>
                    </w:rPr>
                  </w:pPr>
                  <w:r>
                    <w:rPr>
                      <w:rFonts w:hint="eastAsia"/>
                      <w:kern w:val="0"/>
                      <w:szCs w:val="21"/>
                      <w:lang w:bidi="ar"/>
                    </w:rPr>
                    <w:t>项目评价范围内不涉及自然保护区、世界文化和 自然遗产地等特殊生态敏感区，也不涉及风景名胜区、森林公园、地质公园、重要湿地、原始天然林、珍稀濒危野生动植物天然集中分布区等重要生态敏感区和饮用水水源保护区等其他特别保护要求的对象。</w:t>
                  </w:r>
                </w:p>
              </w:tc>
              <w:tc>
                <w:tcPr>
                  <w:tcW w:w="716" w:type="dxa"/>
                  <w:vAlign w:val="center"/>
                </w:tcPr>
                <w:p>
                  <w:pPr>
                    <w:tabs>
                      <w:tab w:val="left" w:pos="0"/>
                    </w:tabs>
                    <w:adjustRightInd w:val="0"/>
                    <w:snapToGrid w:val="0"/>
                    <w:jc w:val="center"/>
                    <w:rPr>
                      <w:spacing w:val="-17"/>
                      <w:szCs w:val="21"/>
                    </w:rPr>
                  </w:pPr>
                  <w:r>
                    <w:rPr>
                      <w:rFonts w:hint="eastAsia"/>
                      <w:spacing w:val="-17"/>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28" w:type="dxa"/>
                  <w:gridSpan w:val="3"/>
                  <w:vAlign w:val="center"/>
                </w:tcPr>
                <w:p>
                  <w:pPr>
                    <w:tabs>
                      <w:tab w:val="left" w:pos="0"/>
                    </w:tabs>
                    <w:adjustRightInd w:val="0"/>
                    <w:snapToGrid w:val="0"/>
                    <w:jc w:val="center"/>
                    <w:rPr>
                      <w:szCs w:val="21"/>
                    </w:rPr>
                  </w:pPr>
                  <w:r>
                    <w:rPr>
                      <w:rFonts w:hint="eastAsia"/>
                      <w:szCs w:val="21"/>
                    </w:rPr>
                    <w:t>环境管控单元对照分析</w:t>
                  </w:r>
                </w:p>
              </w:tc>
              <w:tc>
                <w:tcPr>
                  <w:tcW w:w="4306" w:type="dxa"/>
                  <w:gridSpan w:val="6"/>
                  <w:vAlign w:val="center"/>
                </w:tcPr>
                <w:p>
                  <w:pPr>
                    <w:tabs>
                      <w:tab w:val="left" w:pos="0"/>
                    </w:tabs>
                    <w:adjustRightInd w:val="0"/>
                    <w:snapToGrid w:val="0"/>
                    <w:jc w:val="center"/>
                    <w:rPr>
                      <w:szCs w:val="21"/>
                    </w:rPr>
                  </w:pPr>
                  <w:r>
                    <w:rPr>
                      <w:rFonts w:hint="eastAsia"/>
                      <w:kern w:val="0"/>
                      <w:szCs w:val="21"/>
                      <w:lang w:bidi="ar"/>
                    </w:rPr>
                    <w:t>本项目位于陕西省榆林市子洲县马蹄沟镇，对照榆林市生态环境空管控单元图，项目地属于一般管控单元。</w:t>
                  </w:r>
                </w:p>
              </w:tc>
              <w:tc>
                <w:tcPr>
                  <w:tcW w:w="716" w:type="dxa"/>
                  <w:vAlign w:val="center"/>
                </w:tcPr>
                <w:p>
                  <w:pPr>
                    <w:tabs>
                      <w:tab w:val="left" w:pos="0"/>
                    </w:tabs>
                    <w:adjustRightInd w:val="0"/>
                    <w:snapToGrid w:val="0"/>
                    <w:jc w:val="center"/>
                    <w:rPr>
                      <w:spacing w:val="-17"/>
                      <w:szCs w:val="21"/>
                    </w:rPr>
                  </w:pPr>
                  <w:r>
                    <w:rPr>
                      <w:rFonts w:hint="eastAsia"/>
                      <w:spacing w:val="-17"/>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28" w:type="dxa"/>
                  <w:gridSpan w:val="3"/>
                  <w:vAlign w:val="center"/>
                </w:tcPr>
                <w:p>
                  <w:pPr>
                    <w:tabs>
                      <w:tab w:val="left" w:pos="0"/>
                    </w:tabs>
                    <w:adjustRightInd w:val="0"/>
                    <w:snapToGrid w:val="0"/>
                    <w:jc w:val="center"/>
                    <w:rPr>
                      <w:szCs w:val="21"/>
                    </w:rPr>
                  </w:pPr>
                  <w:r>
                    <w:rPr>
                      <w:rFonts w:hint="eastAsia"/>
                      <w:kern w:val="0"/>
                      <w:szCs w:val="21"/>
                      <w:lang w:bidi="ar"/>
                    </w:rPr>
                    <w:t>未纳入环境管控单元的要素分区对照分析</w:t>
                  </w:r>
                </w:p>
              </w:tc>
              <w:tc>
                <w:tcPr>
                  <w:tcW w:w="4306" w:type="dxa"/>
                  <w:gridSpan w:val="6"/>
                  <w:vAlign w:val="center"/>
                </w:tcPr>
                <w:p>
                  <w:pPr>
                    <w:tabs>
                      <w:tab w:val="left" w:pos="0"/>
                    </w:tabs>
                    <w:adjustRightInd w:val="0"/>
                    <w:snapToGrid w:val="0"/>
                    <w:jc w:val="center"/>
                    <w:rPr>
                      <w:szCs w:val="21"/>
                    </w:rPr>
                  </w:pPr>
                  <w:r>
                    <w:rPr>
                      <w:rFonts w:hint="eastAsia"/>
                      <w:kern w:val="0"/>
                      <w:szCs w:val="21"/>
                      <w:lang w:bidi="ar"/>
                    </w:rPr>
                    <w:t>本项目不涉及榆林市土壤环境风险管控区、污染燃料禁燃区、江河湖库岸线管控区等其他要素分区范围内。</w:t>
                  </w:r>
                </w:p>
              </w:tc>
              <w:tc>
                <w:tcPr>
                  <w:tcW w:w="716" w:type="dxa"/>
                  <w:vAlign w:val="center"/>
                </w:tcPr>
                <w:p>
                  <w:pPr>
                    <w:tabs>
                      <w:tab w:val="left" w:pos="0"/>
                    </w:tabs>
                    <w:adjustRightInd w:val="0"/>
                    <w:snapToGrid w:val="0"/>
                    <w:jc w:val="center"/>
                    <w:rPr>
                      <w:spacing w:val="-17"/>
                      <w:szCs w:val="21"/>
                    </w:rPr>
                  </w:pPr>
                  <w:r>
                    <w:rPr>
                      <w:rFonts w:hint="eastAsia"/>
                      <w:spacing w:val="-17"/>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28" w:type="dxa"/>
                  <w:gridSpan w:val="3"/>
                  <w:vAlign w:val="center"/>
                </w:tcPr>
                <w:p>
                  <w:pPr>
                    <w:tabs>
                      <w:tab w:val="left" w:pos="0"/>
                    </w:tabs>
                    <w:adjustRightInd w:val="0"/>
                    <w:snapToGrid w:val="0"/>
                    <w:jc w:val="center"/>
                    <w:rPr>
                      <w:szCs w:val="21"/>
                    </w:rPr>
                  </w:pPr>
                  <w:r>
                    <w:rPr>
                      <w:rFonts w:hint="eastAsia"/>
                      <w:szCs w:val="21"/>
                    </w:rPr>
                    <w:t>其他对照分析</w:t>
                  </w:r>
                </w:p>
              </w:tc>
              <w:tc>
                <w:tcPr>
                  <w:tcW w:w="4306" w:type="dxa"/>
                  <w:gridSpan w:val="6"/>
                  <w:vAlign w:val="center"/>
                </w:tcPr>
                <w:p>
                  <w:pPr>
                    <w:tabs>
                      <w:tab w:val="left" w:pos="0"/>
                    </w:tabs>
                    <w:adjustRightInd w:val="0"/>
                    <w:snapToGrid w:val="0"/>
                    <w:jc w:val="center"/>
                    <w:rPr>
                      <w:szCs w:val="21"/>
                    </w:rPr>
                  </w:pPr>
                  <w:r>
                    <w:rPr>
                      <w:rFonts w:hint="eastAsia"/>
                      <w:kern w:val="0"/>
                      <w:szCs w:val="21"/>
                      <w:lang w:bidi="ar"/>
                    </w:rPr>
                    <w:t>本项目为医院项目，不涉及矿产资源开发、线性工程等规划或建设项目，故无需开展其他对照分析。</w:t>
                  </w:r>
                </w:p>
              </w:tc>
              <w:tc>
                <w:tcPr>
                  <w:tcW w:w="716" w:type="dxa"/>
                  <w:vAlign w:val="center"/>
                </w:tcPr>
                <w:p>
                  <w:pPr>
                    <w:tabs>
                      <w:tab w:val="left" w:pos="0"/>
                    </w:tabs>
                    <w:adjustRightInd w:val="0"/>
                    <w:snapToGrid w:val="0"/>
                    <w:jc w:val="center"/>
                    <w:rPr>
                      <w:spacing w:val="-17"/>
                      <w:szCs w:val="21"/>
                    </w:rPr>
                  </w:pPr>
                  <w:r>
                    <w:rPr>
                      <w:rFonts w:hint="eastAsia"/>
                      <w:spacing w:val="-17"/>
                      <w:szCs w:val="21"/>
                    </w:rPr>
                    <w:t>符合</w:t>
                  </w:r>
                </w:p>
              </w:tc>
            </w:tr>
          </w:tbl>
          <w:p>
            <w:pPr>
              <w:pStyle w:val="73"/>
              <w:rPr>
                <w:b/>
              </w:rPr>
            </w:pPr>
            <w:r>
              <w:rPr>
                <w:b/>
              </w:rPr>
              <w:t>表1-4项目与</w:t>
            </w:r>
            <w:r>
              <w:rPr>
                <w:rFonts w:hint="eastAsia"/>
                <w:b/>
              </w:rPr>
              <w:t>《</w:t>
            </w:r>
            <w:r>
              <w:rPr>
                <w:b/>
              </w:rPr>
              <w:t>榆林市</w:t>
            </w:r>
            <w:r>
              <w:rPr>
                <w:rFonts w:hint="eastAsia"/>
                <w:b/>
              </w:rPr>
              <w:t>“三线一单”</w:t>
            </w:r>
            <w:r>
              <w:rPr>
                <w:b/>
              </w:rPr>
              <w:t>生态环境</w:t>
            </w:r>
            <w:r>
              <w:rPr>
                <w:rFonts w:hint="eastAsia"/>
                <w:b/>
              </w:rPr>
              <w:t>分区</w:t>
            </w:r>
            <w:r>
              <w:rPr>
                <w:b/>
              </w:rPr>
              <w:t>管控</w:t>
            </w:r>
            <w:r>
              <w:rPr>
                <w:rFonts w:hint="eastAsia"/>
                <w:b/>
              </w:rPr>
              <w:t>方案》</w:t>
            </w:r>
            <w:r>
              <w:rPr>
                <w:b/>
              </w:rPr>
              <w:t>相符性分析</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65"/>
              <w:gridCol w:w="829"/>
              <w:gridCol w:w="2524"/>
              <w:gridCol w:w="1287"/>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4" w:type="pct"/>
                  <w:vAlign w:val="center"/>
                </w:tcPr>
                <w:p>
                  <w:pPr>
                    <w:pStyle w:val="90"/>
                    <w:wordWrap w:val="0"/>
                    <w:autoSpaceDE w:val="0"/>
                    <w:autoSpaceDN w:val="0"/>
                    <w:snapToGrid w:val="0"/>
                    <w:rPr>
                      <w:b/>
                      <w:bCs/>
                      <w:kern w:val="21"/>
                    </w:rPr>
                  </w:pPr>
                  <w:r>
                    <w:rPr>
                      <w:b/>
                      <w:bCs/>
                      <w:kern w:val="21"/>
                    </w:rPr>
                    <w:t>名称</w:t>
                  </w:r>
                </w:p>
              </w:tc>
              <w:tc>
                <w:tcPr>
                  <w:tcW w:w="644" w:type="pct"/>
                  <w:vAlign w:val="center"/>
                </w:tcPr>
                <w:p>
                  <w:pPr>
                    <w:pStyle w:val="90"/>
                    <w:wordWrap w:val="0"/>
                    <w:autoSpaceDE w:val="0"/>
                    <w:autoSpaceDN w:val="0"/>
                    <w:snapToGrid w:val="0"/>
                    <w:rPr>
                      <w:b/>
                      <w:bCs/>
                      <w:kern w:val="21"/>
                    </w:rPr>
                  </w:pPr>
                  <w:r>
                    <w:rPr>
                      <w:b/>
                      <w:bCs/>
                      <w:kern w:val="21"/>
                    </w:rPr>
                    <w:t>适用范围</w:t>
                  </w:r>
                </w:p>
              </w:tc>
              <w:tc>
                <w:tcPr>
                  <w:tcW w:w="617" w:type="pct"/>
                  <w:vAlign w:val="center"/>
                </w:tcPr>
                <w:p>
                  <w:pPr>
                    <w:pStyle w:val="90"/>
                    <w:wordWrap w:val="0"/>
                    <w:autoSpaceDE w:val="0"/>
                    <w:autoSpaceDN w:val="0"/>
                    <w:snapToGrid w:val="0"/>
                    <w:rPr>
                      <w:b/>
                      <w:bCs/>
                      <w:kern w:val="21"/>
                    </w:rPr>
                  </w:pPr>
                  <w:r>
                    <w:rPr>
                      <w:b/>
                      <w:bCs/>
                      <w:kern w:val="21"/>
                    </w:rPr>
                    <w:t>管控</w:t>
                  </w:r>
                  <w:r>
                    <w:rPr>
                      <w:rFonts w:hint="eastAsia"/>
                      <w:b/>
                      <w:bCs/>
                      <w:kern w:val="21"/>
                    </w:rPr>
                    <w:t>维</w:t>
                  </w:r>
                  <w:r>
                    <w:rPr>
                      <w:b/>
                      <w:bCs/>
                      <w:kern w:val="21"/>
                    </w:rPr>
                    <w:t>度</w:t>
                  </w:r>
                </w:p>
              </w:tc>
              <w:tc>
                <w:tcPr>
                  <w:tcW w:w="1878" w:type="pct"/>
                  <w:vAlign w:val="center"/>
                </w:tcPr>
                <w:p>
                  <w:pPr>
                    <w:pStyle w:val="90"/>
                    <w:wordWrap w:val="0"/>
                    <w:autoSpaceDE w:val="0"/>
                    <w:autoSpaceDN w:val="0"/>
                    <w:snapToGrid w:val="0"/>
                    <w:rPr>
                      <w:b/>
                      <w:bCs/>
                      <w:kern w:val="21"/>
                    </w:rPr>
                  </w:pPr>
                  <w:r>
                    <w:rPr>
                      <w:b/>
                      <w:bCs/>
                      <w:kern w:val="21"/>
                    </w:rPr>
                    <w:t>生态环境准入要求</w:t>
                  </w:r>
                </w:p>
              </w:tc>
              <w:tc>
                <w:tcPr>
                  <w:tcW w:w="958" w:type="pct"/>
                  <w:vAlign w:val="center"/>
                </w:tcPr>
                <w:p>
                  <w:pPr>
                    <w:pStyle w:val="90"/>
                    <w:wordWrap w:val="0"/>
                    <w:autoSpaceDE w:val="0"/>
                    <w:autoSpaceDN w:val="0"/>
                    <w:snapToGrid w:val="0"/>
                    <w:rPr>
                      <w:b/>
                      <w:bCs/>
                      <w:kern w:val="21"/>
                    </w:rPr>
                  </w:pPr>
                  <w:r>
                    <w:rPr>
                      <w:b/>
                      <w:bCs/>
                      <w:kern w:val="21"/>
                    </w:rPr>
                    <w:t>本项目情况</w:t>
                  </w:r>
                </w:p>
              </w:tc>
              <w:tc>
                <w:tcPr>
                  <w:tcW w:w="579" w:type="pct"/>
                  <w:vAlign w:val="center"/>
                </w:tcPr>
                <w:p>
                  <w:pPr>
                    <w:pStyle w:val="90"/>
                    <w:wordWrap w:val="0"/>
                    <w:autoSpaceDE w:val="0"/>
                    <w:autoSpaceDN w:val="0"/>
                    <w:snapToGrid w:val="0"/>
                    <w:rPr>
                      <w:b/>
                      <w:bCs/>
                      <w:kern w:val="21"/>
                    </w:rPr>
                  </w:pPr>
                  <w:r>
                    <w:rPr>
                      <w:b/>
                      <w:bCs/>
                      <w:kern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324" w:type="pct"/>
                  <w:vMerge w:val="restart"/>
                  <w:vAlign w:val="center"/>
                </w:tcPr>
                <w:p>
                  <w:pPr>
                    <w:pStyle w:val="90"/>
                    <w:wordWrap w:val="0"/>
                    <w:autoSpaceDE w:val="0"/>
                    <w:autoSpaceDN w:val="0"/>
                    <w:snapToGrid w:val="0"/>
                    <w:rPr>
                      <w:kern w:val="21"/>
                    </w:rPr>
                  </w:pPr>
                  <w:r>
                    <w:rPr>
                      <w:rFonts w:hint="eastAsia"/>
                      <w:kern w:val="21"/>
                    </w:rPr>
                    <w:t>榆林市</w:t>
                  </w:r>
                  <w:r>
                    <w:rPr>
                      <w:kern w:val="21"/>
                    </w:rPr>
                    <w:t>生态环境总体准入清单</w:t>
                  </w:r>
                </w:p>
              </w:tc>
              <w:tc>
                <w:tcPr>
                  <w:tcW w:w="644" w:type="pct"/>
                  <w:vMerge w:val="restart"/>
                  <w:vAlign w:val="center"/>
                </w:tcPr>
                <w:p>
                  <w:pPr>
                    <w:pStyle w:val="90"/>
                    <w:wordWrap w:val="0"/>
                    <w:autoSpaceDE w:val="0"/>
                    <w:autoSpaceDN w:val="0"/>
                    <w:snapToGrid w:val="0"/>
                    <w:rPr>
                      <w:kern w:val="21"/>
                    </w:rPr>
                  </w:pPr>
                  <w:r>
                    <w:rPr>
                      <w:kern w:val="21"/>
                    </w:rPr>
                    <w:t>总体要求</w:t>
                  </w:r>
                </w:p>
              </w:tc>
              <w:tc>
                <w:tcPr>
                  <w:tcW w:w="617" w:type="pct"/>
                  <w:vAlign w:val="center"/>
                </w:tcPr>
                <w:p>
                  <w:pPr>
                    <w:pStyle w:val="90"/>
                    <w:wordWrap w:val="0"/>
                    <w:autoSpaceDE w:val="0"/>
                    <w:autoSpaceDN w:val="0"/>
                    <w:snapToGrid w:val="0"/>
                    <w:rPr>
                      <w:kern w:val="21"/>
                    </w:rPr>
                  </w:pPr>
                  <w:r>
                    <w:rPr>
                      <w:kern w:val="21"/>
                    </w:rPr>
                    <w:t>空间布局约束</w:t>
                  </w:r>
                </w:p>
              </w:tc>
              <w:tc>
                <w:tcPr>
                  <w:tcW w:w="1878" w:type="pct"/>
                  <w:vAlign w:val="center"/>
                </w:tcPr>
                <w:p>
                  <w:pPr>
                    <w:pStyle w:val="90"/>
                    <w:wordWrap w:val="0"/>
                    <w:autoSpaceDE w:val="0"/>
                    <w:autoSpaceDN w:val="0"/>
                    <w:snapToGrid w:val="0"/>
                    <w:jc w:val="both"/>
                  </w:pPr>
                  <w:r>
                    <w:rPr>
                      <w:rFonts w:hint="eastAsia"/>
                    </w:rPr>
                    <w:t>1</w:t>
                  </w:r>
                  <w:r>
                    <w:t>.以生态保护红线为核心，严格保护各类自然保护地和特色自然景观风貌，建设和修复生态空间 网络，构筑以自然资源集中分布区域为生态源地、重要自然保护地为生态节点、河流水系廊道为纽带的“三廊三带多点”的生态安全格局。基于区域生态安全格局，维育以黄土高原生态屏障、长城沿线防风固沙林带为主的陕北“一屏一带”生态屏障，重点协同建设“北部防风固沙生态屏障、东部黄河沿岸水土流失防治带、南部黄土高原水土流失防治带”三条防风固沙固土生态带。</w:t>
                  </w:r>
                </w:p>
                <w:p>
                  <w:pPr>
                    <w:pStyle w:val="90"/>
                    <w:wordWrap w:val="0"/>
                    <w:autoSpaceDE w:val="0"/>
                    <w:autoSpaceDN w:val="0"/>
                    <w:snapToGrid w:val="0"/>
                    <w:jc w:val="both"/>
                  </w:pPr>
                  <w:r>
                    <w:rPr>
                      <w:rFonts w:hint="eastAsia"/>
                    </w:rPr>
                    <w:t>2</w:t>
                  </w:r>
                  <w:r>
                    <w:t>.构建“一核三区、一轴二带”绿色低碳、多极多元的产业空间布局结构。南部生态产业区包括南部六县，重点发展建材、特色轻纺和文化旅游、现代物流等产业，培育农产品加工产业集群。</w:t>
                  </w:r>
                </w:p>
                <w:p>
                  <w:pPr>
                    <w:pStyle w:val="90"/>
                    <w:wordWrap w:val="0"/>
                    <w:autoSpaceDE w:val="0"/>
                    <w:autoSpaceDN w:val="0"/>
                    <w:snapToGrid w:val="0"/>
                    <w:jc w:val="both"/>
                  </w:pPr>
                  <w:r>
                    <w:rPr>
                      <w:rFonts w:hint="eastAsia"/>
                    </w:rPr>
                    <w:t>4</w:t>
                  </w:r>
                  <w:r>
                    <w:t>. “两高”项目的准入需严格执行中央和我省相关政策。严格“两高”项目准入，石化、现代煤化工项目纳入产业规划。新建、扩建石化、化工、焦 化、有色金属冶炼、平板玻璃项目应布设在依法合规设立并经规划环评的产业园区。</w:t>
                  </w:r>
                </w:p>
              </w:tc>
              <w:tc>
                <w:tcPr>
                  <w:tcW w:w="958" w:type="pct"/>
                  <w:vAlign w:val="center"/>
                </w:tcPr>
                <w:p>
                  <w:pPr>
                    <w:pStyle w:val="90"/>
                    <w:wordWrap w:val="0"/>
                    <w:autoSpaceDE w:val="0"/>
                    <w:autoSpaceDN w:val="0"/>
                    <w:snapToGrid w:val="0"/>
                    <w:jc w:val="both"/>
                  </w:pPr>
                  <w:r>
                    <w:t>本项目位于榆林市</w:t>
                  </w:r>
                  <w:r>
                    <w:rPr>
                      <w:rFonts w:hint="eastAsia"/>
                    </w:rPr>
                    <w:t>子洲县马蹄沟镇</w:t>
                  </w:r>
                  <w:r>
                    <w:t>，</w:t>
                  </w:r>
                  <w:r>
                    <w:rPr>
                      <w:rFonts w:hint="eastAsia"/>
                    </w:rPr>
                    <w:t>占地类型属于公共管理与公共服务用地，</w:t>
                  </w:r>
                  <w:r>
                    <w:t>不涉及生态保护红线。</w:t>
                  </w:r>
                  <w:r>
                    <w:rPr>
                      <w:rFonts w:hint="eastAsia"/>
                    </w:rPr>
                    <w:t>项目为医院项目，不属于“两高”项目。</w:t>
                  </w:r>
                </w:p>
              </w:tc>
              <w:tc>
                <w:tcPr>
                  <w:tcW w:w="579" w:type="pct"/>
                  <w:vAlign w:val="center"/>
                </w:tcPr>
                <w:p>
                  <w:pPr>
                    <w:pStyle w:val="90"/>
                    <w:wordWrap w:val="0"/>
                    <w:autoSpaceDE w:val="0"/>
                    <w:autoSpaceDN w:val="0"/>
                    <w:snapToGrid w:val="0"/>
                    <w:rPr>
                      <w:kern w:val="21"/>
                    </w:rPr>
                  </w:pPr>
                  <w:r>
                    <w:rPr>
                      <w:kern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324" w:type="pct"/>
                  <w:vMerge w:val="continue"/>
                  <w:vAlign w:val="center"/>
                </w:tcPr>
                <w:p>
                  <w:pPr>
                    <w:pStyle w:val="90"/>
                    <w:wordWrap w:val="0"/>
                    <w:autoSpaceDE w:val="0"/>
                    <w:autoSpaceDN w:val="0"/>
                    <w:snapToGrid w:val="0"/>
                    <w:rPr>
                      <w:kern w:val="21"/>
                    </w:rPr>
                  </w:pPr>
                </w:p>
              </w:tc>
              <w:tc>
                <w:tcPr>
                  <w:tcW w:w="644" w:type="pct"/>
                  <w:vMerge w:val="continue"/>
                  <w:vAlign w:val="center"/>
                </w:tcPr>
                <w:p>
                  <w:pPr>
                    <w:pStyle w:val="90"/>
                    <w:wordWrap w:val="0"/>
                    <w:autoSpaceDE w:val="0"/>
                    <w:autoSpaceDN w:val="0"/>
                    <w:snapToGrid w:val="0"/>
                    <w:jc w:val="left"/>
                    <w:rPr>
                      <w:kern w:val="21"/>
                    </w:rPr>
                  </w:pPr>
                </w:p>
              </w:tc>
              <w:tc>
                <w:tcPr>
                  <w:tcW w:w="617" w:type="pct"/>
                  <w:vAlign w:val="center"/>
                </w:tcPr>
                <w:p>
                  <w:pPr>
                    <w:pStyle w:val="90"/>
                    <w:wordWrap w:val="0"/>
                    <w:autoSpaceDE w:val="0"/>
                    <w:autoSpaceDN w:val="0"/>
                    <w:snapToGrid w:val="0"/>
                    <w:rPr>
                      <w:kern w:val="21"/>
                    </w:rPr>
                  </w:pPr>
                  <w:r>
                    <w:rPr>
                      <w:kern w:val="21"/>
                    </w:rPr>
                    <w:t>污染物排放管控</w:t>
                  </w:r>
                </w:p>
              </w:tc>
              <w:tc>
                <w:tcPr>
                  <w:tcW w:w="1878" w:type="pct"/>
                  <w:vAlign w:val="center"/>
                </w:tcPr>
                <w:p>
                  <w:pPr>
                    <w:pStyle w:val="90"/>
                    <w:wordWrap w:val="0"/>
                    <w:autoSpaceDE w:val="0"/>
                    <w:autoSpaceDN w:val="0"/>
                    <w:snapToGrid w:val="0"/>
                    <w:jc w:val="both"/>
                    <w:rPr>
                      <w:kern w:val="21"/>
                    </w:rPr>
                  </w:pPr>
                  <w:r>
                    <w:rPr>
                      <w:kern w:val="21"/>
                    </w:rPr>
                    <w:t>1．</w:t>
                  </w:r>
                  <w:r>
                    <w:t>水污染防治：全面加强城镇生活污水处理设施建设和运行管理；因地制宜建设农村污水处理设施，有效减少农村污水直排现象，到2025年，城市、县城污水处理率分别达到95%、93%；开展入河排污口、饮用水水源地以及黑臭水体专项整治，到2025年，水环境质量稳步提升，水生态功能初步得到恢复，消除国考劣</w:t>
                  </w:r>
                  <w:r>
                    <w:rPr>
                      <w:rFonts w:hint="eastAsia" w:ascii="宋体" w:hAnsi="宋体" w:cs="宋体"/>
                    </w:rPr>
                    <w:t>Ⅴ</w:t>
                  </w:r>
                  <w:r>
                    <w:t>类断面（不含本底值影响的断面）和城市黑臭水体</w:t>
                  </w:r>
                  <w:r>
                    <w:rPr>
                      <w:kern w:val="21"/>
                    </w:rPr>
                    <w:t>。</w:t>
                  </w:r>
                </w:p>
                <w:p>
                  <w:pPr>
                    <w:pStyle w:val="90"/>
                    <w:wordWrap w:val="0"/>
                    <w:autoSpaceDE w:val="0"/>
                    <w:autoSpaceDN w:val="0"/>
                    <w:snapToGrid w:val="0"/>
                    <w:jc w:val="both"/>
                    <w:rPr>
                      <w:kern w:val="21"/>
                    </w:rPr>
                  </w:pPr>
                  <w:r>
                    <w:rPr>
                      <w:kern w:val="21"/>
                    </w:rPr>
                    <w:t>2．大气污染防治：强化区域联防联控、多污染物协同治理以及重污染天气应对；调整优化能源结构，控制温室气体 排放，打造低碳产业发展格局。</w:t>
                  </w:r>
                </w:p>
                <w:p>
                  <w:pPr>
                    <w:pStyle w:val="90"/>
                    <w:wordWrap w:val="0"/>
                    <w:autoSpaceDE w:val="0"/>
                    <w:autoSpaceDN w:val="0"/>
                    <w:snapToGrid w:val="0"/>
                    <w:jc w:val="both"/>
                    <w:rPr>
                      <w:kern w:val="21"/>
                    </w:rPr>
                  </w:pPr>
                  <w:r>
                    <w:rPr>
                      <w:kern w:val="21"/>
                    </w:rPr>
                    <w:t>4．固体废物污染防治：2025年底前，市中心城区污泥无害化处理率达到95%以上，其他县市区达到 80%以上；促进生活垃圾减量化资源化无害化，全市城镇生活垃圾无害化处理率进一步提升。</w:t>
                  </w:r>
                </w:p>
              </w:tc>
              <w:tc>
                <w:tcPr>
                  <w:tcW w:w="958" w:type="pct"/>
                  <w:vAlign w:val="center"/>
                </w:tcPr>
                <w:p>
                  <w:pPr>
                    <w:pStyle w:val="90"/>
                    <w:wordWrap w:val="0"/>
                    <w:autoSpaceDE w:val="0"/>
                    <w:autoSpaceDN w:val="0"/>
                    <w:snapToGrid w:val="0"/>
                    <w:jc w:val="both"/>
                    <w:rPr>
                      <w:spacing w:val="-6"/>
                    </w:rPr>
                  </w:pPr>
                  <w:r>
                    <w:rPr>
                      <w:rFonts w:hint="eastAsia"/>
                      <w:spacing w:val="-6"/>
                      <w:kern w:val="21"/>
                    </w:rPr>
                    <w:t>项目医疗废水经</w:t>
                  </w:r>
                  <w:r>
                    <w:rPr>
                      <w:rFonts w:hint="eastAsia"/>
                      <w:spacing w:val="-6"/>
                    </w:rPr>
                    <w:t>“</w:t>
                  </w:r>
                  <w:r>
                    <w:rPr>
                      <w:spacing w:val="-6"/>
                    </w:rPr>
                    <w:t>调节池+混凝沉淀</w:t>
                  </w:r>
                  <w:r>
                    <w:rPr>
                      <w:rFonts w:hint="eastAsia"/>
                      <w:spacing w:val="-6"/>
                    </w:rPr>
                    <w:t>（一级强化）</w:t>
                  </w:r>
                  <w:r>
                    <w:rPr>
                      <w:spacing w:val="-6"/>
                    </w:rPr>
                    <w:t>+</w:t>
                  </w:r>
                  <w:r>
                    <w:rPr>
                      <w:rFonts w:hint="eastAsia"/>
                      <w:spacing w:val="-6"/>
                    </w:rPr>
                    <w:t>次氯酸钠</w:t>
                  </w:r>
                  <w:r>
                    <w:rPr>
                      <w:spacing w:val="-6"/>
                    </w:rPr>
                    <w:t>消毒</w:t>
                  </w:r>
                  <w:r>
                    <w:rPr>
                      <w:rFonts w:hint="eastAsia"/>
                      <w:spacing w:val="-6"/>
                    </w:rPr>
                    <w:t>”工艺处理后，</w:t>
                  </w:r>
                  <w:r>
                    <w:rPr>
                      <w:rFonts w:hint="eastAsia"/>
                    </w:rPr>
                    <w:t>目前污水处理后拉运至县城污水处理厂处理，待马蹄沟产业园区污水处理厂（正在建设中）投入运行后并网处理</w:t>
                  </w:r>
                  <w:r>
                    <w:rPr>
                      <w:rFonts w:hint="eastAsia"/>
                      <w:bCs/>
                    </w:rPr>
                    <w:t>；</w:t>
                  </w:r>
                  <w:r>
                    <w:rPr>
                      <w:rFonts w:hint="eastAsia"/>
                    </w:rPr>
                    <w:t>生活垃圾集中收集，交由当地环卫部门统一处置；医疗废物交由资质单位回收处置；污水处理站</w:t>
                  </w:r>
                  <w:r>
                    <w:rPr>
                      <w:rFonts w:hint="eastAsia"/>
                      <w:spacing w:val="-6"/>
                    </w:rPr>
                    <w:t>污泥按照医疗废物处置要求，经消毒委托有资质单位处置。</w:t>
                  </w:r>
                </w:p>
                <w:p>
                  <w:pPr>
                    <w:pStyle w:val="90"/>
                    <w:wordWrap w:val="0"/>
                    <w:autoSpaceDE w:val="0"/>
                    <w:autoSpaceDN w:val="0"/>
                    <w:snapToGrid w:val="0"/>
                    <w:jc w:val="both"/>
                    <w:rPr>
                      <w:spacing w:val="-6"/>
                      <w:kern w:val="21"/>
                    </w:rPr>
                  </w:pPr>
                  <w:r>
                    <w:rPr>
                      <w:rFonts w:hint="eastAsia"/>
                    </w:rPr>
                    <w:t>本项目</w:t>
                  </w:r>
                  <w:r>
                    <w:t>在采取本评价提出的污染防治措施后，对环境影响较小。</w:t>
                  </w:r>
                </w:p>
              </w:tc>
              <w:tc>
                <w:tcPr>
                  <w:tcW w:w="579" w:type="pct"/>
                  <w:vAlign w:val="center"/>
                </w:tcPr>
                <w:p>
                  <w:pPr>
                    <w:pStyle w:val="90"/>
                    <w:wordWrap w:val="0"/>
                    <w:autoSpaceDE w:val="0"/>
                    <w:autoSpaceDN w:val="0"/>
                    <w:snapToGrid w:val="0"/>
                    <w:rPr>
                      <w:kern w:val="21"/>
                    </w:rPr>
                  </w:pPr>
                  <w:r>
                    <w:rPr>
                      <w:kern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4" w:type="pct"/>
                  <w:vMerge w:val="continue"/>
                  <w:vAlign w:val="center"/>
                </w:tcPr>
                <w:p>
                  <w:pPr>
                    <w:pStyle w:val="90"/>
                    <w:wordWrap w:val="0"/>
                    <w:autoSpaceDE w:val="0"/>
                    <w:autoSpaceDN w:val="0"/>
                    <w:snapToGrid w:val="0"/>
                    <w:rPr>
                      <w:kern w:val="21"/>
                    </w:rPr>
                  </w:pPr>
                </w:p>
              </w:tc>
              <w:tc>
                <w:tcPr>
                  <w:tcW w:w="644" w:type="pct"/>
                  <w:vMerge w:val="continue"/>
                  <w:vAlign w:val="center"/>
                </w:tcPr>
                <w:p>
                  <w:pPr>
                    <w:pStyle w:val="90"/>
                    <w:wordWrap w:val="0"/>
                    <w:autoSpaceDE w:val="0"/>
                    <w:autoSpaceDN w:val="0"/>
                    <w:snapToGrid w:val="0"/>
                    <w:jc w:val="left"/>
                    <w:rPr>
                      <w:kern w:val="21"/>
                    </w:rPr>
                  </w:pPr>
                </w:p>
              </w:tc>
              <w:tc>
                <w:tcPr>
                  <w:tcW w:w="617" w:type="pct"/>
                  <w:vAlign w:val="center"/>
                </w:tcPr>
                <w:p>
                  <w:pPr>
                    <w:snapToGrid w:val="0"/>
                    <w:jc w:val="center"/>
                    <w:rPr>
                      <w:kern w:val="21"/>
                      <w:szCs w:val="21"/>
                    </w:rPr>
                  </w:pPr>
                  <w:r>
                    <w:rPr>
                      <w:snapToGrid w:val="0"/>
                      <w:szCs w:val="21"/>
                      <w:lang w:bidi="ar"/>
                    </w:rPr>
                    <w:t>环境风险防控</w:t>
                  </w:r>
                </w:p>
              </w:tc>
              <w:tc>
                <w:tcPr>
                  <w:tcW w:w="1878" w:type="pct"/>
                  <w:vAlign w:val="center"/>
                </w:tcPr>
                <w:p>
                  <w:pPr>
                    <w:snapToGrid w:val="0"/>
                  </w:pPr>
                  <w:r>
                    <w:rPr>
                      <w:kern w:val="21"/>
                      <w:szCs w:val="21"/>
                    </w:rPr>
                    <w:t>1．</w:t>
                  </w:r>
                  <w:r>
                    <w:t>坚持预防为主原则，将环境风险纳入常态化管理。各级人民政府及其有关部门和企事业单位，应当依照</w:t>
                  </w:r>
                  <w:r>
                    <w:rPr>
                      <w:rFonts w:hint="eastAsia"/>
                    </w:rPr>
                    <w:t>《</w:t>
                  </w:r>
                  <w:r>
                    <w:t>中华人民共和国突发事件应对法</w:t>
                  </w:r>
                  <w:r>
                    <w:rPr>
                      <w:rFonts w:hint="eastAsia"/>
                    </w:rPr>
                    <w:t>》</w:t>
                  </w:r>
                  <w:r>
                    <w:t>等相关规定，做好突发环境事件的风险控制、应急准备、应急处置和事后恢复等工作</w:t>
                  </w:r>
                  <w:r>
                    <w:rPr>
                      <w:rFonts w:hint="eastAsia"/>
                    </w:rPr>
                    <w:t>。</w:t>
                  </w:r>
                </w:p>
                <w:p>
                  <w:pPr>
                    <w:snapToGrid w:val="0"/>
                    <w:rPr>
                      <w:kern w:val="21"/>
                      <w:szCs w:val="21"/>
                    </w:rPr>
                  </w:pPr>
                  <w:r>
                    <w:rPr>
                      <w:kern w:val="21"/>
                      <w:szCs w:val="21"/>
                    </w:rPr>
                    <w:t>5．加强危险废物、核与辐射等领域环境风险防控。</w:t>
                  </w:r>
                </w:p>
              </w:tc>
              <w:tc>
                <w:tcPr>
                  <w:tcW w:w="958" w:type="pct"/>
                  <w:vAlign w:val="center"/>
                </w:tcPr>
                <w:p>
                  <w:pPr>
                    <w:pStyle w:val="90"/>
                    <w:wordWrap w:val="0"/>
                    <w:autoSpaceDE w:val="0"/>
                    <w:autoSpaceDN w:val="0"/>
                    <w:snapToGrid w:val="0"/>
                    <w:jc w:val="both"/>
                    <w:rPr>
                      <w:kern w:val="21"/>
                    </w:rPr>
                  </w:pPr>
                  <w:r>
                    <w:t>本项目</w:t>
                  </w:r>
                  <w:r>
                    <w:rPr>
                      <w:rFonts w:hint="eastAsia"/>
                    </w:rPr>
                    <w:t>产生的医疗废物交由资质单位回收处置；本次评价范围不涉及重金属、核与辐射等。</w:t>
                  </w:r>
                </w:p>
              </w:tc>
              <w:tc>
                <w:tcPr>
                  <w:tcW w:w="579" w:type="pct"/>
                  <w:vAlign w:val="center"/>
                </w:tcPr>
                <w:p>
                  <w:pPr>
                    <w:pStyle w:val="90"/>
                    <w:wordWrap w:val="0"/>
                    <w:autoSpaceDE w:val="0"/>
                    <w:autoSpaceDN w:val="0"/>
                    <w:snapToGrid w:val="0"/>
                    <w:rPr>
                      <w:kern w:val="21"/>
                    </w:rPr>
                  </w:pPr>
                  <w:r>
                    <w:rPr>
                      <w:rFonts w:hint="eastAsia"/>
                      <w:kern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4" w:type="pct"/>
                  <w:vMerge w:val="continue"/>
                  <w:vAlign w:val="center"/>
                </w:tcPr>
                <w:p>
                  <w:pPr>
                    <w:pStyle w:val="90"/>
                    <w:wordWrap w:val="0"/>
                    <w:autoSpaceDE w:val="0"/>
                    <w:autoSpaceDN w:val="0"/>
                    <w:snapToGrid w:val="0"/>
                    <w:rPr>
                      <w:kern w:val="21"/>
                    </w:rPr>
                  </w:pPr>
                </w:p>
              </w:tc>
              <w:tc>
                <w:tcPr>
                  <w:tcW w:w="644" w:type="pct"/>
                  <w:vMerge w:val="continue"/>
                  <w:vAlign w:val="center"/>
                </w:tcPr>
                <w:p>
                  <w:pPr>
                    <w:pStyle w:val="90"/>
                    <w:wordWrap w:val="0"/>
                    <w:autoSpaceDE w:val="0"/>
                    <w:autoSpaceDN w:val="0"/>
                    <w:snapToGrid w:val="0"/>
                    <w:jc w:val="left"/>
                    <w:rPr>
                      <w:kern w:val="21"/>
                    </w:rPr>
                  </w:pPr>
                </w:p>
              </w:tc>
              <w:tc>
                <w:tcPr>
                  <w:tcW w:w="617" w:type="pct"/>
                  <w:vAlign w:val="center"/>
                </w:tcPr>
                <w:p>
                  <w:pPr>
                    <w:pStyle w:val="90"/>
                    <w:wordWrap w:val="0"/>
                    <w:autoSpaceDE w:val="0"/>
                    <w:autoSpaceDN w:val="0"/>
                    <w:snapToGrid w:val="0"/>
                    <w:rPr>
                      <w:kern w:val="21"/>
                    </w:rPr>
                  </w:pPr>
                  <w:r>
                    <w:rPr>
                      <w:kern w:val="21"/>
                    </w:rPr>
                    <w:t>资源利用效率要求</w:t>
                  </w:r>
                </w:p>
              </w:tc>
              <w:tc>
                <w:tcPr>
                  <w:tcW w:w="1878" w:type="pct"/>
                  <w:vAlign w:val="center"/>
                </w:tcPr>
                <w:p>
                  <w:pPr>
                    <w:pStyle w:val="90"/>
                    <w:wordWrap w:val="0"/>
                    <w:autoSpaceDE w:val="0"/>
                    <w:autoSpaceDN w:val="0"/>
                    <w:snapToGrid w:val="0"/>
                    <w:jc w:val="both"/>
                    <w:rPr>
                      <w:kern w:val="21"/>
                    </w:rPr>
                  </w:pPr>
                  <w:r>
                    <w:rPr>
                      <w:kern w:val="21"/>
                    </w:rPr>
                    <w:t>1．到2025年，全市单位地区生产总值能源消耗强度较2020年下降13.5%，单位地区生产总值二氧化碳排放较2020年降低18%，全市清洁取暖率达到70%。</w:t>
                  </w:r>
                </w:p>
                <w:p>
                  <w:pPr>
                    <w:pStyle w:val="90"/>
                    <w:wordWrap w:val="0"/>
                    <w:autoSpaceDE w:val="0"/>
                    <w:autoSpaceDN w:val="0"/>
                    <w:snapToGrid w:val="0"/>
                    <w:jc w:val="both"/>
                    <w:rPr>
                      <w:kern w:val="21"/>
                    </w:rPr>
                  </w:pPr>
                  <w:r>
                    <w:rPr>
                      <w:kern w:val="21"/>
                    </w:rPr>
                    <w:t>2．完善节能减排约束性指标管理，加强高能耗行业能耗管控，大力实施锅炉窑炉改造、能量系统优化、余热余压利用等节能技术改造。新建、扩建“两高”项目应采用先进适用的工艺技术和装备，单位产品物耗、能耗等达到清洁生产先进水平。</w:t>
                  </w:r>
                </w:p>
              </w:tc>
              <w:tc>
                <w:tcPr>
                  <w:tcW w:w="958" w:type="pct"/>
                  <w:vAlign w:val="center"/>
                </w:tcPr>
                <w:p>
                  <w:pPr>
                    <w:pStyle w:val="90"/>
                    <w:wordWrap w:val="0"/>
                    <w:autoSpaceDE w:val="0"/>
                    <w:autoSpaceDN w:val="0"/>
                    <w:snapToGrid w:val="0"/>
                    <w:jc w:val="both"/>
                    <w:rPr>
                      <w:kern w:val="21"/>
                    </w:rPr>
                  </w:pPr>
                  <w:r>
                    <w:rPr>
                      <w:rFonts w:hint="eastAsia"/>
                    </w:rPr>
                    <w:t>项目为医院项目，不属于“两高”项目。</w:t>
                  </w:r>
                  <w:r>
                    <w:rPr>
                      <w:kern w:val="21"/>
                    </w:rPr>
                    <w:t>项目主要能源消耗为水、电</w:t>
                  </w:r>
                  <w:r>
                    <w:rPr>
                      <w:rFonts w:hint="eastAsia"/>
                      <w:kern w:val="21"/>
                    </w:rPr>
                    <w:t>和天然气</w:t>
                  </w:r>
                  <w:r>
                    <w:rPr>
                      <w:kern w:val="21"/>
                    </w:rPr>
                    <w:t>。项目耗能相对整个区域很小，资源利用效率高。</w:t>
                  </w:r>
                </w:p>
              </w:tc>
              <w:tc>
                <w:tcPr>
                  <w:tcW w:w="579" w:type="pct"/>
                  <w:vAlign w:val="center"/>
                </w:tcPr>
                <w:p>
                  <w:pPr>
                    <w:pStyle w:val="90"/>
                    <w:wordWrap w:val="0"/>
                    <w:autoSpaceDE w:val="0"/>
                    <w:autoSpaceDN w:val="0"/>
                    <w:snapToGrid w:val="0"/>
                    <w:rPr>
                      <w:kern w:val="21"/>
                    </w:rPr>
                  </w:pPr>
                  <w:r>
                    <w:rPr>
                      <w:kern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324" w:type="pct"/>
                  <w:vMerge w:val="continue"/>
                  <w:vAlign w:val="center"/>
                </w:tcPr>
                <w:p>
                  <w:pPr>
                    <w:pStyle w:val="90"/>
                    <w:wordWrap w:val="0"/>
                    <w:autoSpaceDE w:val="0"/>
                    <w:autoSpaceDN w:val="0"/>
                    <w:snapToGrid w:val="0"/>
                    <w:rPr>
                      <w:kern w:val="21"/>
                    </w:rPr>
                  </w:pPr>
                </w:p>
              </w:tc>
              <w:tc>
                <w:tcPr>
                  <w:tcW w:w="644" w:type="pct"/>
                  <w:vAlign w:val="center"/>
                </w:tcPr>
                <w:p>
                  <w:pPr>
                    <w:pStyle w:val="90"/>
                    <w:wordWrap w:val="0"/>
                    <w:autoSpaceDE w:val="0"/>
                    <w:autoSpaceDN w:val="0"/>
                    <w:snapToGrid w:val="0"/>
                    <w:jc w:val="both"/>
                    <w:rPr>
                      <w:kern w:val="21"/>
                    </w:rPr>
                  </w:pPr>
                  <w:r>
                    <w:rPr>
                      <w:rFonts w:hint="eastAsia"/>
                      <w:kern w:val="21"/>
                    </w:rPr>
                    <w:t>5</w:t>
                  </w:r>
                  <w:r>
                    <w:rPr>
                      <w:kern w:val="21"/>
                    </w:rPr>
                    <w:t>.</w:t>
                  </w:r>
                  <w:r>
                    <w:rPr>
                      <w:rFonts w:hint="eastAsia"/>
                      <w:kern w:val="21"/>
                    </w:rPr>
                    <w:t>一般管控单元</w:t>
                  </w:r>
                </w:p>
              </w:tc>
              <w:tc>
                <w:tcPr>
                  <w:tcW w:w="617" w:type="pct"/>
                  <w:vAlign w:val="center"/>
                </w:tcPr>
                <w:p>
                  <w:pPr>
                    <w:tabs>
                      <w:tab w:val="left" w:pos="0"/>
                    </w:tabs>
                    <w:snapToGrid w:val="0"/>
                    <w:jc w:val="center"/>
                    <w:rPr>
                      <w:szCs w:val="21"/>
                    </w:rPr>
                  </w:pPr>
                  <w:r>
                    <w:rPr>
                      <w:szCs w:val="21"/>
                    </w:rPr>
                    <w:t>空间约束</w:t>
                  </w:r>
                  <w:r>
                    <w:rPr>
                      <w:rFonts w:hint="eastAsia"/>
                      <w:szCs w:val="21"/>
                    </w:rPr>
                    <w:t>要求</w:t>
                  </w:r>
                </w:p>
              </w:tc>
              <w:tc>
                <w:tcPr>
                  <w:tcW w:w="1878" w:type="pct"/>
                  <w:vAlign w:val="center"/>
                </w:tcPr>
                <w:p>
                  <w:pPr>
                    <w:pStyle w:val="90"/>
                    <w:wordWrap w:val="0"/>
                    <w:autoSpaceDE w:val="0"/>
                    <w:autoSpaceDN w:val="0"/>
                    <w:snapToGrid w:val="0"/>
                    <w:jc w:val="both"/>
                  </w:pPr>
                  <w:r>
                    <w:rPr>
                      <w:rFonts w:hint="eastAsia"/>
                    </w:rPr>
                    <w:t>执行全省、陕北地区、榆林市生态环境总体准入清单中空间布局约束相关要求</w:t>
                  </w:r>
                  <w:r>
                    <w:t>。</w:t>
                  </w:r>
                </w:p>
              </w:tc>
              <w:tc>
                <w:tcPr>
                  <w:tcW w:w="958" w:type="pct"/>
                  <w:vAlign w:val="center"/>
                </w:tcPr>
                <w:p>
                  <w:pPr>
                    <w:pStyle w:val="90"/>
                    <w:wordWrap w:val="0"/>
                    <w:autoSpaceDE w:val="0"/>
                    <w:autoSpaceDN w:val="0"/>
                    <w:snapToGrid w:val="0"/>
                    <w:jc w:val="both"/>
                    <w:rPr>
                      <w:spacing w:val="-6"/>
                      <w:kern w:val="21"/>
                    </w:rPr>
                  </w:pPr>
                  <w:r>
                    <w:rPr>
                      <w:rFonts w:hint="eastAsia"/>
                    </w:rPr>
                    <w:t>本项目为医院项目，</w:t>
                  </w:r>
                  <w:r>
                    <w:t>为公共医疗卫生服务项目。根据《产业结构调整指导目录（2019本）》，本项目属于鼓励类项目，不属于“两高”行业。</w:t>
                  </w:r>
                  <w:r>
                    <w:rPr>
                      <w:rFonts w:hint="eastAsia"/>
                    </w:rPr>
                    <w:t>项目</w:t>
                  </w:r>
                  <w:r>
                    <w:t>在采取本评价提出的污染防治措施后，对环境影响较小。</w:t>
                  </w:r>
                </w:p>
              </w:tc>
              <w:tc>
                <w:tcPr>
                  <w:tcW w:w="579" w:type="pct"/>
                  <w:vAlign w:val="center"/>
                </w:tcPr>
                <w:p>
                  <w:pPr>
                    <w:pStyle w:val="90"/>
                    <w:wordWrap w:val="0"/>
                    <w:autoSpaceDE w:val="0"/>
                    <w:autoSpaceDN w:val="0"/>
                    <w:snapToGrid w:val="0"/>
                    <w:rPr>
                      <w:kern w:val="21"/>
                    </w:rPr>
                  </w:pPr>
                  <w:r>
                    <w:rPr>
                      <w:kern w:val="21"/>
                    </w:rPr>
                    <w:t>符合</w:t>
                  </w:r>
                </w:p>
              </w:tc>
            </w:tr>
          </w:tbl>
          <w:p>
            <w:pPr>
              <w:spacing w:line="360" w:lineRule="auto"/>
              <w:ind w:firstLine="480" w:firstLineChars="200"/>
              <w:contextualSpacing/>
              <w:rPr>
                <w:sz w:val="24"/>
              </w:rPr>
            </w:pPr>
            <w:r>
              <w:rPr>
                <w:rFonts w:hint="eastAsia"/>
                <w:sz w:val="24"/>
              </w:rPr>
              <w:t xml:space="preserve">4、项目选址合理性分析 </w:t>
            </w:r>
          </w:p>
          <w:p>
            <w:pPr>
              <w:spacing w:line="360" w:lineRule="auto"/>
              <w:ind w:firstLine="480" w:firstLineChars="200"/>
              <w:contextualSpacing/>
              <w:rPr>
                <w:kern w:val="0"/>
                <w:sz w:val="24"/>
              </w:rPr>
            </w:pPr>
            <w:r>
              <w:rPr>
                <w:rFonts w:hint="eastAsia"/>
                <w:kern w:val="0"/>
                <w:sz w:val="24"/>
              </w:rPr>
              <w:t>本项目为新建项目，位于</w:t>
            </w:r>
            <w:r>
              <w:rPr>
                <w:rFonts w:hint="eastAsia"/>
                <w:sz w:val="24"/>
              </w:rPr>
              <w:t>陕西省榆林市子洲县马蹄沟镇</w:t>
            </w:r>
            <w:r>
              <w:rPr>
                <w:rFonts w:hint="eastAsia"/>
                <w:kern w:val="0"/>
                <w:sz w:val="24"/>
              </w:rPr>
              <w:t>，占地面积</w:t>
            </w:r>
            <w:r>
              <w:rPr>
                <w:rFonts w:hint="eastAsia"/>
                <w:sz w:val="24"/>
              </w:rPr>
              <w:t>9323.144m</w:t>
            </w:r>
            <w:r>
              <w:rPr>
                <w:rFonts w:hint="eastAsia"/>
                <w:sz w:val="24"/>
                <w:vertAlign w:val="superscript"/>
              </w:rPr>
              <w:t>2</w:t>
            </w:r>
            <w:r>
              <w:rPr>
                <w:rFonts w:hint="eastAsia"/>
                <w:kern w:val="0"/>
                <w:sz w:val="24"/>
              </w:rPr>
              <w:t>，项目拆除原有中心卫生院建筑，</w:t>
            </w:r>
            <w:r>
              <w:rPr>
                <w:rFonts w:hint="eastAsia"/>
                <w:sz w:val="24"/>
              </w:rPr>
              <w:t>新建子洲县人民医院分院、康养中心等工程。</w:t>
            </w:r>
          </w:p>
          <w:p>
            <w:pPr>
              <w:spacing w:line="360" w:lineRule="auto"/>
              <w:ind w:firstLine="480" w:firstLineChars="200"/>
              <w:contextualSpacing/>
              <w:rPr>
                <w:kern w:val="0"/>
                <w:sz w:val="24"/>
              </w:rPr>
            </w:pPr>
            <w:r>
              <w:rPr>
                <w:rFonts w:hint="eastAsia"/>
                <w:kern w:val="0"/>
                <w:sz w:val="24"/>
              </w:rPr>
              <w:t>本项目为公共医疗卫生服务项目，其建设有利于促进区域医疗卫生事业发展，满足人民群众日益增长的医疗卫生服务需求，</w:t>
            </w:r>
            <w:r>
              <w:rPr>
                <w:kern w:val="0"/>
                <w:sz w:val="24"/>
              </w:rPr>
              <w:t>将使更多患者得到更好的医疗服务。同时提高医院医疗服务水平，为患者提供优质良好的就医环境</w:t>
            </w:r>
            <w:r>
              <w:rPr>
                <w:rFonts w:hint="eastAsia"/>
                <w:kern w:val="0"/>
                <w:sz w:val="24"/>
              </w:rPr>
              <w:t>。</w:t>
            </w:r>
          </w:p>
          <w:p>
            <w:pPr>
              <w:spacing w:line="360" w:lineRule="auto"/>
              <w:ind w:firstLine="480" w:firstLineChars="200"/>
              <w:contextualSpacing/>
              <w:rPr>
                <w:kern w:val="0"/>
                <w:sz w:val="24"/>
              </w:rPr>
            </w:pPr>
            <w:r>
              <w:rPr>
                <w:rFonts w:hint="eastAsia"/>
                <w:kern w:val="0"/>
                <w:sz w:val="24"/>
              </w:rPr>
              <w:t>根据《子洲县自然资源和规划局关于子洲县人民医院分院基础设施建设项目拟用地情况的说明》可知，项目占地类型为医疗卫生用地（详见附件</w:t>
            </w:r>
            <w:r>
              <w:rPr>
                <w:kern w:val="0"/>
                <w:sz w:val="24"/>
              </w:rPr>
              <w:t>3</w:t>
            </w:r>
            <w:r>
              <w:rPr>
                <w:rFonts w:hint="eastAsia"/>
                <w:kern w:val="0"/>
                <w:sz w:val="24"/>
              </w:rPr>
              <w:t>）</w:t>
            </w:r>
            <w:r>
              <w:rPr>
                <w:rFonts w:hint="eastAsia"/>
                <w:sz w:val="24"/>
              </w:rPr>
              <w:t>。</w:t>
            </w:r>
          </w:p>
          <w:p>
            <w:pPr>
              <w:spacing w:line="360" w:lineRule="auto"/>
              <w:ind w:firstLine="480" w:firstLineChars="200"/>
              <w:contextualSpacing/>
              <w:rPr>
                <w:kern w:val="0"/>
                <w:sz w:val="24"/>
              </w:rPr>
            </w:pPr>
            <w:r>
              <w:rPr>
                <w:rFonts w:hint="eastAsia"/>
                <w:kern w:val="0"/>
                <w:sz w:val="24"/>
              </w:rPr>
              <w:t>根据《综合医院建设标准》（建标110-2021），项目选址符合性见下表1-</w:t>
            </w:r>
            <w:r>
              <w:rPr>
                <w:kern w:val="0"/>
                <w:sz w:val="24"/>
              </w:rPr>
              <w:t>5</w:t>
            </w:r>
            <w:r>
              <w:rPr>
                <w:rFonts w:hint="eastAsia"/>
                <w:kern w:val="0"/>
                <w:sz w:val="24"/>
              </w:rPr>
              <w:t>。</w:t>
            </w:r>
          </w:p>
          <w:p>
            <w:pPr>
              <w:ind w:firstLine="422" w:firstLineChars="200"/>
              <w:contextualSpacing/>
              <w:jc w:val="center"/>
              <w:rPr>
                <w:kern w:val="0"/>
                <w:szCs w:val="21"/>
              </w:rPr>
            </w:pPr>
            <w:r>
              <w:rPr>
                <w:b/>
                <w:bCs/>
                <w:szCs w:val="21"/>
              </w:rPr>
              <w:t>表</w:t>
            </w:r>
            <w:r>
              <w:rPr>
                <w:rFonts w:hint="eastAsia"/>
                <w:b/>
                <w:bCs/>
                <w:szCs w:val="21"/>
              </w:rPr>
              <w:t>1-</w:t>
            </w:r>
            <w:r>
              <w:rPr>
                <w:b/>
                <w:bCs/>
                <w:szCs w:val="21"/>
              </w:rPr>
              <w:t xml:space="preserve">5 </w:t>
            </w:r>
            <w:r>
              <w:rPr>
                <w:rFonts w:hint="eastAsia"/>
                <w:b/>
                <w:bCs/>
                <w:szCs w:val="21"/>
              </w:rPr>
              <w:t xml:space="preserve"> </w:t>
            </w:r>
            <w:r>
              <w:rPr>
                <w:b/>
                <w:bCs/>
                <w:szCs w:val="21"/>
              </w:rPr>
              <w:t>项目与</w:t>
            </w:r>
            <w:r>
              <w:rPr>
                <w:rFonts w:hint="eastAsia"/>
                <w:b/>
                <w:bCs/>
                <w:szCs w:val="21"/>
              </w:rPr>
              <w:t>选址符合性</w:t>
            </w:r>
            <w:r>
              <w:rPr>
                <w:b/>
                <w:bCs/>
                <w:szCs w:val="21"/>
              </w:rPr>
              <w:t>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285"/>
              <w:gridCol w:w="2850"/>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contextualSpacing/>
                    <w:jc w:val="center"/>
                    <w:rPr>
                      <w:b/>
                      <w:kern w:val="0"/>
                      <w:szCs w:val="21"/>
                    </w:rPr>
                  </w:pPr>
                  <w:r>
                    <w:rPr>
                      <w:rFonts w:hint="eastAsia"/>
                      <w:b/>
                      <w:kern w:val="0"/>
                      <w:szCs w:val="21"/>
                    </w:rPr>
                    <w:t>序号</w:t>
                  </w:r>
                </w:p>
              </w:tc>
              <w:tc>
                <w:tcPr>
                  <w:tcW w:w="1699" w:type="pct"/>
                  <w:vAlign w:val="center"/>
                </w:tcPr>
                <w:p>
                  <w:pPr>
                    <w:contextualSpacing/>
                    <w:jc w:val="center"/>
                    <w:rPr>
                      <w:b/>
                      <w:kern w:val="0"/>
                      <w:szCs w:val="21"/>
                    </w:rPr>
                  </w:pPr>
                  <w:r>
                    <w:rPr>
                      <w:rFonts w:hint="eastAsia"/>
                      <w:b/>
                      <w:kern w:val="0"/>
                      <w:szCs w:val="21"/>
                    </w:rPr>
                    <w:t>选址基本要求</w:t>
                  </w:r>
                </w:p>
              </w:tc>
              <w:tc>
                <w:tcPr>
                  <w:tcW w:w="2119" w:type="pct"/>
                  <w:vAlign w:val="center"/>
                </w:tcPr>
                <w:p>
                  <w:pPr>
                    <w:contextualSpacing/>
                    <w:jc w:val="center"/>
                    <w:rPr>
                      <w:b/>
                      <w:kern w:val="0"/>
                      <w:szCs w:val="21"/>
                    </w:rPr>
                  </w:pPr>
                  <w:r>
                    <w:rPr>
                      <w:rFonts w:hint="eastAsia"/>
                      <w:b/>
                      <w:kern w:val="0"/>
                      <w:szCs w:val="21"/>
                    </w:rPr>
                    <w:t>本项目情况</w:t>
                  </w:r>
                </w:p>
              </w:tc>
              <w:tc>
                <w:tcPr>
                  <w:tcW w:w="726" w:type="pct"/>
                  <w:vAlign w:val="center"/>
                </w:tcPr>
                <w:p>
                  <w:pPr>
                    <w:contextualSpacing/>
                    <w:jc w:val="center"/>
                    <w:rPr>
                      <w:b/>
                      <w:kern w:val="0"/>
                      <w:szCs w:val="21"/>
                    </w:rPr>
                  </w:pPr>
                  <w:r>
                    <w:rPr>
                      <w:rFonts w:hint="eastAsia"/>
                      <w:b/>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contextualSpacing/>
                    <w:jc w:val="center"/>
                    <w:rPr>
                      <w:kern w:val="0"/>
                      <w:szCs w:val="21"/>
                    </w:rPr>
                  </w:pPr>
                  <w:r>
                    <w:rPr>
                      <w:rFonts w:hint="eastAsia"/>
                      <w:kern w:val="0"/>
                      <w:szCs w:val="21"/>
                    </w:rPr>
                    <w:t>1</w:t>
                  </w:r>
                </w:p>
              </w:tc>
              <w:tc>
                <w:tcPr>
                  <w:tcW w:w="1699" w:type="pct"/>
                  <w:vAlign w:val="center"/>
                </w:tcPr>
                <w:p>
                  <w:pPr>
                    <w:contextualSpacing/>
                    <w:jc w:val="center"/>
                    <w:rPr>
                      <w:kern w:val="0"/>
                      <w:szCs w:val="21"/>
                    </w:rPr>
                  </w:pPr>
                  <w:r>
                    <w:rPr>
                      <w:rFonts w:hint="eastAsia"/>
                      <w:kern w:val="0"/>
                      <w:szCs w:val="21"/>
                    </w:rPr>
                    <w:t>地形规整，工程地质和水文地质条件较好，远离地震断裂带</w:t>
                  </w:r>
                </w:p>
              </w:tc>
              <w:tc>
                <w:tcPr>
                  <w:tcW w:w="2119" w:type="pct"/>
                  <w:vAlign w:val="center"/>
                </w:tcPr>
                <w:p>
                  <w:pPr>
                    <w:contextualSpacing/>
                    <w:jc w:val="center"/>
                    <w:rPr>
                      <w:kern w:val="0"/>
                      <w:szCs w:val="21"/>
                    </w:rPr>
                  </w:pPr>
                  <w:r>
                    <w:rPr>
                      <w:rFonts w:hint="eastAsia"/>
                      <w:kern w:val="0"/>
                      <w:szCs w:val="21"/>
                    </w:rPr>
                    <w:t>项目位于陕西省榆林市子洲县马蹄沟镇，场地平整，水文地</w:t>
                  </w:r>
                  <w:r>
                    <w:rPr>
                      <w:rFonts w:hint="eastAsia"/>
                      <w:kern w:val="0"/>
                      <w:szCs w:val="21"/>
                    </w:rPr>
                    <w:cr/>
                  </w:r>
                  <w:r>
                    <w:rPr>
                      <w:rFonts w:hint="eastAsia"/>
                      <w:kern w:val="0"/>
                      <w:szCs w:val="21"/>
                    </w:rPr>
                    <w:t>条件良好，非地震断裂带</w:t>
                  </w:r>
                </w:p>
              </w:tc>
              <w:tc>
                <w:tcPr>
                  <w:tcW w:w="726"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contextualSpacing/>
                    <w:jc w:val="center"/>
                    <w:rPr>
                      <w:kern w:val="0"/>
                      <w:szCs w:val="21"/>
                    </w:rPr>
                  </w:pPr>
                  <w:r>
                    <w:rPr>
                      <w:rFonts w:hint="eastAsia"/>
                      <w:kern w:val="0"/>
                      <w:szCs w:val="21"/>
                    </w:rPr>
                    <w:t>2</w:t>
                  </w:r>
                </w:p>
              </w:tc>
              <w:tc>
                <w:tcPr>
                  <w:tcW w:w="1699" w:type="pct"/>
                  <w:vAlign w:val="center"/>
                </w:tcPr>
                <w:p>
                  <w:pPr>
                    <w:contextualSpacing/>
                    <w:jc w:val="center"/>
                    <w:rPr>
                      <w:kern w:val="0"/>
                      <w:szCs w:val="21"/>
                    </w:rPr>
                  </w:pPr>
                  <w:r>
                    <w:rPr>
                      <w:rFonts w:hint="eastAsia"/>
                      <w:kern w:val="0"/>
                      <w:szCs w:val="21"/>
                    </w:rPr>
                    <w:t>市政基础设施完善，交通便利</w:t>
                  </w:r>
                </w:p>
              </w:tc>
              <w:tc>
                <w:tcPr>
                  <w:tcW w:w="2119" w:type="pct"/>
                  <w:vAlign w:val="center"/>
                </w:tcPr>
                <w:p>
                  <w:pPr>
                    <w:contextualSpacing/>
                    <w:jc w:val="center"/>
                    <w:rPr>
                      <w:kern w:val="0"/>
                      <w:szCs w:val="21"/>
                    </w:rPr>
                  </w:pPr>
                  <w:r>
                    <w:rPr>
                      <w:rFonts w:hint="eastAsia"/>
                      <w:kern w:val="0"/>
                      <w:szCs w:val="21"/>
                    </w:rPr>
                    <w:t>项目场址水、电、气及道路设施较为完善</w:t>
                  </w:r>
                </w:p>
              </w:tc>
              <w:tc>
                <w:tcPr>
                  <w:tcW w:w="726"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contextualSpacing/>
                    <w:jc w:val="center"/>
                    <w:rPr>
                      <w:kern w:val="0"/>
                      <w:szCs w:val="21"/>
                    </w:rPr>
                  </w:pPr>
                </w:p>
              </w:tc>
              <w:tc>
                <w:tcPr>
                  <w:tcW w:w="1699" w:type="pct"/>
                  <w:vAlign w:val="center"/>
                </w:tcPr>
                <w:p>
                  <w:pPr>
                    <w:contextualSpacing/>
                    <w:jc w:val="center"/>
                    <w:rPr>
                      <w:kern w:val="0"/>
                      <w:szCs w:val="21"/>
                    </w:rPr>
                  </w:pPr>
                  <w:r>
                    <w:rPr>
                      <w:rFonts w:hint="eastAsia"/>
                      <w:kern w:val="0"/>
                      <w:szCs w:val="21"/>
                    </w:rPr>
                    <w:t>环境安静，应远离污染源</w:t>
                  </w:r>
                </w:p>
              </w:tc>
              <w:tc>
                <w:tcPr>
                  <w:tcW w:w="2119" w:type="pct"/>
                  <w:vAlign w:val="center"/>
                </w:tcPr>
                <w:p>
                  <w:pPr>
                    <w:contextualSpacing/>
                    <w:jc w:val="center"/>
                    <w:rPr>
                      <w:kern w:val="0"/>
                      <w:szCs w:val="21"/>
                    </w:rPr>
                  </w:pPr>
                  <w:r>
                    <w:rPr>
                      <w:rFonts w:hint="eastAsia"/>
                      <w:kern w:val="0"/>
                      <w:szCs w:val="21"/>
                    </w:rPr>
                    <w:t>项目场址位于子洲县马蹄沟镇，周围基本为村庄及耕地</w:t>
                  </w:r>
                  <w:r>
                    <w:rPr>
                      <w:rFonts w:hint="eastAsia"/>
                      <w:kern w:val="0"/>
                      <w:szCs w:val="21"/>
                    </w:rPr>
                    <w:cr/>
                  </w:r>
                  <w:r>
                    <w:rPr>
                      <w:rFonts w:hint="eastAsia"/>
                      <w:kern w:val="0"/>
                      <w:szCs w:val="21"/>
                    </w:rPr>
                    <w:t>环境安静，无污染源</w:t>
                  </w:r>
                </w:p>
              </w:tc>
              <w:tc>
                <w:tcPr>
                  <w:tcW w:w="726" w:type="pct"/>
                  <w:vAlign w:val="center"/>
                </w:tcPr>
                <w:p>
                  <w:pPr>
                    <w:contextualSpacing/>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pPr>
                    <w:contextualSpacing/>
                    <w:jc w:val="center"/>
                    <w:rPr>
                      <w:kern w:val="0"/>
                      <w:szCs w:val="21"/>
                    </w:rPr>
                  </w:pPr>
                  <w:r>
                    <w:rPr>
                      <w:rFonts w:hint="eastAsia"/>
                      <w:kern w:val="0"/>
                      <w:szCs w:val="21"/>
                    </w:rPr>
                    <w:t>4</w:t>
                  </w:r>
                </w:p>
              </w:tc>
              <w:tc>
                <w:tcPr>
                  <w:tcW w:w="1699" w:type="pct"/>
                  <w:vAlign w:val="center"/>
                </w:tcPr>
                <w:p>
                  <w:pPr>
                    <w:contextualSpacing/>
                    <w:jc w:val="center"/>
                    <w:rPr>
                      <w:kern w:val="0"/>
                      <w:szCs w:val="21"/>
                    </w:rPr>
                  </w:pPr>
                  <w:r>
                    <w:rPr>
                      <w:rFonts w:hint="eastAsia"/>
                      <w:kern w:val="0"/>
                      <w:szCs w:val="21"/>
                    </w:rPr>
                    <w:t>远离易燃、易爆物品的生产和贮存区、高压线路及其设施。不宜紧邻噪声源、震动源和电磁场等区域</w:t>
                  </w:r>
                </w:p>
              </w:tc>
              <w:tc>
                <w:tcPr>
                  <w:tcW w:w="2119" w:type="pct"/>
                  <w:vAlign w:val="center"/>
                </w:tcPr>
                <w:p>
                  <w:pPr>
                    <w:contextualSpacing/>
                    <w:jc w:val="center"/>
                    <w:rPr>
                      <w:kern w:val="0"/>
                      <w:szCs w:val="21"/>
                    </w:rPr>
                  </w:pPr>
                  <w:r>
                    <w:rPr>
                      <w:rFonts w:hint="eastAsia"/>
                      <w:kern w:val="0"/>
                      <w:szCs w:val="21"/>
                    </w:rPr>
                    <w:t>项目场址位于子洲县马蹄沟镇，周围基本为村庄及耕地，无易燃、易爆物品的生产和贮存区、高压</w:t>
                  </w:r>
                  <w:r>
                    <w:rPr>
                      <w:rFonts w:hint="eastAsia"/>
                      <w:kern w:val="0"/>
                      <w:szCs w:val="21"/>
                    </w:rPr>
                    <w:cr/>
                  </w:r>
                  <w:r>
                    <w:rPr>
                      <w:rFonts w:hint="eastAsia"/>
                      <w:kern w:val="0"/>
                      <w:szCs w:val="21"/>
                    </w:rPr>
                    <w:t>路及其设施等区域</w:t>
                  </w:r>
                </w:p>
              </w:tc>
              <w:tc>
                <w:tcPr>
                  <w:tcW w:w="726" w:type="pct"/>
                  <w:vAlign w:val="center"/>
                </w:tcPr>
                <w:p>
                  <w:pPr>
                    <w:contextualSpacing/>
                    <w:jc w:val="center"/>
                    <w:rPr>
                      <w:kern w:val="0"/>
                      <w:szCs w:val="21"/>
                    </w:rPr>
                  </w:pPr>
                  <w:r>
                    <w:rPr>
                      <w:rFonts w:hint="eastAsia"/>
                      <w:kern w:val="0"/>
                      <w:szCs w:val="21"/>
                    </w:rPr>
                    <w:t>符合</w:t>
                  </w:r>
                </w:p>
              </w:tc>
            </w:tr>
          </w:tbl>
          <w:p>
            <w:pPr>
              <w:spacing w:line="360" w:lineRule="auto"/>
              <w:ind w:firstLine="480" w:firstLineChars="200"/>
              <w:contextualSpacing/>
              <w:rPr>
                <w:sz w:val="24"/>
              </w:rPr>
            </w:pPr>
            <w:r>
              <w:rPr>
                <w:rFonts w:hint="eastAsia"/>
                <w:sz w:val="24"/>
              </w:rPr>
              <w:t>综上，本项目场址符合《综合医院建设标准》（建标110-2021）中选址要求。</w:t>
            </w:r>
          </w:p>
          <w:p>
            <w:pPr>
              <w:spacing w:line="360" w:lineRule="auto"/>
              <w:ind w:firstLine="480" w:firstLineChars="200"/>
              <w:contextualSpacing/>
              <w:rPr>
                <w:sz w:val="24"/>
              </w:rPr>
            </w:pPr>
            <w:r>
              <w:rPr>
                <w:rFonts w:hint="eastAsia"/>
                <w:sz w:val="24"/>
              </w:rPr>
              <w:t>根据现场调查，项目区四周邻近村镇道路，周围分布有居民点，南侧160m为国道G307，,交通较为便捷，方便患者就医。根据区域环境现状调查，本项目所在地大气环境质量较好，诊疗环境好，医院附近无较大的噪声污染源，环境比较安静，适合患者休养和治疗。由现场调查可知，项目场地呈不规则形，地势较为平坦。项目场址及其评价范围内无饮用水保护区、基本农田保护区、自然保护区、风景名胜区等环境敏感区。</w:t>
            </w:r>
          </w:p>
          <w:p>
            <w:pPr>
              <w:spacing w:line="360" w:lineRule="auto"/>
              <w:ind w:firstLine="480" w:firstLineChars="200"/>
              <w:contextualSpacing/>
              <w:rPr>
                <w:color w:val="00B0F0"/>
                <w:sz w:val="24"/>
              </w:rPr>
            </w:pPr>
            <w:r>
              <w:rPr>
                <w:rFonts w:hint="eastAsia"/>
                <w:sz w:val="24"/>
              </w:rPr>
              <w:t>综上所述，本项目选址合理。</w:t>
            </w: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b/>
                <w:sz w:val="24"/>
                <w:szCs w:val="24"/>
              </w:rPr>
            </w:pPr>
          </w:p>
          <w:p>
            <w:pPr>
              <w:pStyle w:val="73"/>
              <w:jc w:val="center"/>
              <w:rPr>
                <w:rFonts w:hint="eastAsia"/>
                <w:b/>
                <w:sz w:val="24"/>
                <w:szCs w:val="24"/>
              </w:rPr>
            </w:pPr>
          </w:p>
          <w:p>
            <w:pPr>
              <w:pStyle w:val="73"/>
              <w:jc w:val="center"/>
              <w:rPr>
                <w:rFonts w:hint="eastAsia"/>
                <w:b/>
                <w:sz w:val="24"/>
                <w:szCs w:val="24"/>
              </w:rPr>
            </w:pPr>
          </w:p>
          <w:p>
            <w:pPr>
              <w:pStyle w:val="73"/>
              <w:jc w:val="center"/>
              <w:rPr>
                <w:rFonts w:hint="eastAsia"/>
                <w:b/>
                <w:sz w:val="24"/>
                <w:szCs w:val="24"/>
              </w:rPr>
            </w:pPr>
          </w:p>
          <w:p>
            <w:pPr>
              <w:pStyle w:val="73"/>
              <w:jc w:val="center"/>
              <w:rPr>
                <w:rFonts w:hint="eastAsia"/>
                <w:b/>
                <w:sz w:val="24"/>
                <w:szCs w:val="24"/>
              </w:rPr>
            </w:pPr>
          </w:p>
          <w:p>
            <w:pPr>
              <w:pStyle w:val="73"/>
              <w:jc w:val="center"/>
              <w:rPr>
                <w:b/>
                <w:sz w:val="24"/>
                <w:szCs w:val="24"/>
              </w:rPr>
            </w:pPr>
          </w:p>
          <w:p>
            <w:pPr>
              <w:autoSpaceDE w:val="0"/>
              <w:autoSpaceDN w:val="0"/>
              <w:adjustRightInd w:val="0"/>
              <w:snapToGrid w:val="0"/>
              <w:rPr>
                <w:kern w:val="0"/>
                <w:szCs w:val="21"/>
              </w:rPr>
            </w:pPr>
          </w:p>
        </w:tc>
      </w:tr>
    </w:tbl>
    <w:p>
      <w:pPr>
        <w:pStyle w:val="19"/>
        <w:jc w:val="center"/>
        <w:outlineLvl w:val="0"/>
        <w:rPr>
          <w:rFonts w:ascii="Times New Roman" w:hAnsi="Times New Roman" w:eastAsia="黑体"/>
          <w:snapToGrid w:val="0"/>
          <w:sz w:val="30"/>
          <w:szCs w:val="30"/>
        </w:rPr>
        <w:sectPr>
          <w:footerReference r:id="rId5" w:type="default"/>
          <w:pgSz w:w="11906" w:h="16838"/>
          <w:pgMar w:top="1701" w:right="1531" w:bottom="1701" w:left="1531" w:header="851" w:footer="851" w:gutter="0"/>
          <w:pgNumType w:start="1"/>
          <w:cols w:space="720" w:num="1"/>
          <w:docGrid w:linePitch="312" w:charSpace="0"/>
        </w:sectPr>
      </w:pPr>
    </w:p>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5" w:type="dxa"/>
            <w:vAlign w:val="center"/>
          </w:tcPr>
          <w:p>
            <w:pPr>
              <w:pStyle w:val="19"/>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605" w:type="dxa"/>
          </w:tcPr>
          <w:p>
            <w:pPr>
              <w:spacing w:line="360" w:lineRule="auto"/>
              <w:ind w:firstLine="480" w:firstLineChars="200"/>
              <w:contextualSpacing/>
              <w:rPr>
                <w:sz w:val="24"/>
              </w:rPr>
            </w:pPr>
            <w:r>
              <w:rPr>
                <w:rFonts w:hint="eastAsia"/>
                <w:sz w:val="24"/>
              </w:rPr>
              <w:t>马蹄沟镇中心卫生院位于子洲县马蹄沟镇，是一所甲等卫生院，服务全镇总人口数3</w:t>
            </w:r>
            <w:r>
              <w:rPr>
                <w:sz w:val="24"/>
              </w:rPr>
              <w:t>6357</w:t>
            </w:r>
            <w:r>
              <w:rPr>
                <w:rFonts w:hint="eastAsia"/>
                <w:sz w:val="24"/>
              </w:rPr>
              <w:t>人。由于时代的飞跃发展，使我院建设落后，医疗保障进行、基本公共卫生服务进展、健康素养的促进、健康扶贫的推进，使我院的发展受到限制，为了马蹄沟镇卫生院与时俱进的发展，按照国家发展规划，乡镇卫生院建设标准，本院的建设短缺特别严重，建设面积，使用面积、业务用房面积、科室配置极不规范。为</w:t>
            </w:r>
            <w:r>
              <w:rPr>
                <w:rFonts w:hint="eastAsia"/>
                <w:kern w:val="0"/>
                <w:sz w:val="24"/>
              </w:rPr>
              <w:t>满足人民群众日益增长的医疗卫生服务需求，</w:t>
            </w:r>
            <w:r>
              <w:rPr>
                <w:kern w:val="0"/>
                <w:sz w:val="24"/>
              </w:rPr>
              <w:t>提高医院医疗服务水平，</w:t>
            </w:r>
            <w:r>
              <w:rPr>
                <w:rFonts w:hint="eastAsia"/>
                <w:sz w:val="24"/>
              </w:rPr>
              <w:t>因此，子洲县卫生健康局拟投资4957.36万元新建子洲县人民医院分院。</w:t>
            </w:r>
          </w:p>
          <w:p>
            <w:pPr>
              <w:spacing w:line="360" w:lineRule="auto"/>
              <w:ind w:firstLine="480" w:firstLineChars="200"/>
              <w:contextualSpacing/>
              <w:rPr>
                <w:sz w:val="24"/>
              </w:rPr>
            </w:pPr>
            <w:r>
              <w:rPr>
                <w:rFonts w:hint="eastAsia"/>
                <w:sz w:val="24"/>
              </w:rPr>
              <w:t>本项目新建子洲县人民医院分院，属于马蹄沟镇中心卫生院，地处子洲县马蹄沟镇，位于大理河畔沿307国道县城以西（附图1）。本项目拆除建筑面积1866m</w:t>
            </w:r>
            <w:r>
              <w:rPr>
                <w:sz w:val="24"/>
                <w:vertAlign w:val="superscript"/>
              </w:rPr>
              <w:t>2</w:t>
            </w:r>
            <w:r>
              <w:rPr>
                <w:rFonts w:hint="eastAsia"/>
                <w:sz w:val="24"/>
              </w:rPr>
              <w:t>，拆除围墙346.36m，拆除铺装面积2441.82m</w:t>
            </w:r>
            <w:r>
              <w:rPr>
                <w:sz w:val="24"/>
                <w:vertAlign w:val="superscript"/>
              </w:rPr>
              <w:t>2</w:t>
            </w:r>
            <w:r>
              <w:rPr>
                <w:rFonts w:hint="eastAsia"/>
                <w:sz w:val="24"/>
              </w:rPr>
              <w:t>。新建子洲县人民医院分院建筑面积7756.72m</w:t>
            </w:r>
            <w:r>
              <w:rPr>
                <w:sz w:val="24"/>
                <w:vertAlign w:val="superscript"/>
              </w:rPr>
              <w:t>2</w:t>
            </w:r>
            <w:r>
              <w:rPr>
                <w:rFonts w:hint="eastAsia"/>
                <w:sz w:val="24"/>
              </w:rPr>
              <w:t>，康养中心建筑面积4435.25m</w:t>
            </w:r>
            <w:r>
              <w:rPr>
                <w:sz w:val="24"/>
                <w:vertAlign w:val="superscript"/>
              </w:rPr>
              <w:t>2</w:t>
            </w:r>
            <w:r>
              <w:rPr>
                <w:rFonts w:hint="eastAsia"/>
                <w:sz w:val="24"/>
              </w:rPr>
              <w:t>，出地面风井、楼梯、门房建筑面积30.00m</w:t>
            </w:r>
            <w:r>
              <w:rPr>
                <w:sz w:val="24"/>
                <w:vertAlign w:val="superscript"/>
              </w:rPr>
              <w:t>2</w:t>
            </w:r>
            <w:r>
              <w:rPr>
                <w:rFonts w:hint="eastAsia"/>
                <w:sz w:val="24"/>
              </w:rPr>
              <w:t>，设备用房建筑面积168.00m</w:t>
            </w:r>
            <w:r>
              <w:rPr>
                <w:sz w:val="24"/>
                <w:vertAlign w:val="superscript"/>
              </w:rPr>
              <w:t>2</w:t>
            </w:r>
            <w:r>
              <w:rPr>
                <w:rFonts w:hint="eastAsia"/>
                <w:sz w:val="24"/>
              </w:rPr>
              <w:t>。室外硬化5441.58m</w:t>
            </w:r>
            <w:r>
              <w:rPr>
                <w:sz w:val="24"/>
                <w:vertAlign w:val="superscript"/>
              </w:rPr>
              <w:t>2</w:t>
            </w:r>
            <w:r>
              <w:rPr>
                <w:rFonts w:hint="eastAsia"/>
                <w:sz w:val="24"/>
              </w:rPr>
              <w:t>，室外绿化1290.69m</w:t>
            </w:r>
            <w:r>
              <w:rPr>
                <w:sz w:val="24"/>
                <w:vertAlign w:val="superscript"/>
              </w:rPr>
              <w:t>2</w:t>
            </w:r>
            <w:r>
              <w:rPr>
                <w:rFonts w:hint="eastAsia"/>
                <w:sz w:val="24"/>
              </w:rPr>
              <w:t>，以及配套给排水、电气、暖通等工程。根据《子洲县人民医院分院基础设施建设项目可行性研究报告》可知，本项目建成后总床数为216个，其中子洲县人民医院分院病床数99个，康养中心床数117个</w:t>
            </w:r>
            <w:r>
              <w:rPr>
                <w:sz w:val="24"/>
              </w:rPr>
              <w:t>。</w:t>
            </w:r>
          </w:p>
          <w:p>
            <w:pPr>
              <w:spacing w:line="360" w:lineRule="auto"/>
              <w:ind w:firstLine="480" w:firstLineChars="200"/>
              <w:contextualSpacing/>
              <w:rPr>
                <w:sz w:val="24"/>
              </w:rPr>
            </w:pPr>
            <w:bookmarkStart w:id="26" w:name="_GoBack"/>
            <w:r>
              <w:rPr>
                <w:rFonts w:hint="eastAsia"/>
                <w:sz w:val="24"/>
              </w:rPr>
              <w:t>本项目不设置传染病房，本次评价不包含医院辐射设备，医院辐射设备需另行评价</w:t>
            </w:r>
            <w:bookmarkEnd w:id="26"/>
            <w:r>
              <w:rPr>
                <w:rFonts w:hint="eastAsia"/>
                <w:sz w:val="24"/>
              </w:rPr>
              <w:t>。</w:t>
            </w:r>
            <w:r>
              <w:rPr>
                <w:sz w:val="24"/>
              </w:rPr>
              <w:t>项目组成见表2-1。</w:t>
            </w:r>
          </w:p>
          <w:p>
            <w:pPr>
              <w:autoSpaceDE w:val="0"/>
              <w:autoSpaceDN w:val="0"/>
              <w:snapToGrid w:val="0"/>
              <w:jc w:val="center"/>
              <w:rPr>
                <w:b/>
                <w:bCs/>
                <w:szCs w:val="21"/>
              </w:rPr>
            </w:pPr>
            <w:r>
              <w:rPr>
                <w:b/>
                <w:bCs/>
                <w:sz w:val="24"/>
              </w:rPr>
              <w:t>表2-1  建设项目工程内容表</w:t>
            </w:r>
          </w:p>
          <w:tbl>
            <w:tblPr>
              <w:tblStyle w:val="21"/>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981"/>
              <w:gridCol w:w="1275"/>
              <w:gridCol w:w="4822"/>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Align w:val="center"/>
                </w:tcPr>
                <w:p>
                  <w:pPr>
                    <w:snapToGrid w:val="0"/>
                    <w:jc w:val="center"/>
                    <w:rPr>
                      <w:szCs w:val="21"/>
                    </w:rPr>
                  </w:pPr>
                  <w:bookmarkStart w:id="2" w:name="_Hlk27156311"/>
                  <w:r>
                    <w:rPr>
                      <w:b/>
                      <w:bCs/>
                      <w:snapToGrid w:val="0"/>
                      <w:kern w:val="24"/>
                      <w:szCs w:val="21"/>
                    </w:rPr>
                    <w:t>工程类别</w:t>
                  </w:r>
                </w:p>
              </w:tc>
              <w:tc>
                <w:tcPr>
                  <w:tcW w:w="981" w:type="dxa"/>
                  <w:vAlign w:val="center"/>
                </w:tcPr>
                <w:p>
                  <w:pPr>
                    <w:overflowPunct w:val="0"/>
                    <w:snapToGrid w:val="0"/>
                    <w:jc w:val="center"/>
                    <w:textAlignment w:val="baseline"/>
                    <w:rPr>
                      <w:b/>
                      <w:bCs/>
                      <w:snapToGrid w:val="0"/>
                      <w:kern w:val="24"/>
                      <w:szCs w:val="21"/>
                    </w:rPr>
                  </w:pPr>
                  <w:r>
                    <w:rPr>
                      <w:b/>
                      <w:bCs/>
                      <w:snapToGrid w:val="0"/>
                      <w:kern w:val="24"/>
                      <w:szCs w:val="21"/>
                    </w:rPr>
                    <w:t>工程名称</w:t>
                  </w:r>
                </w:p>
              </w:tc>
              <w:tc>
                <w:tcPr>
                  <w:tcW w:w="6097" w:type="dxa"/>
                  <w:gridSpan w:val="2"/>
                  <w:vAlign w:val="center"/>
                </w:tcPr>
                <w:p>
                  <w:pPr>
                    <w:snapToGrid w:val="0"/>
                    <w:jc w:val="center"/>
                    <w:rPr>
                      <w:bCs/>
                      <w:szCs w:val="21"/>
                    </w:rPr>
                  </w:pPr>
                  <w:r>
                    <w:rPr>
                      <w:b/>
                      <w:bCs/>
                      <w:snapToGrid w:val="0"/>
                      <w:kern w:val="24"/>
                      <w:szCs w:val="21"/>
                    </w:rPr>
                    <w:t>工程内容及规模</w:t>
                  </w:r>
                </w:p>
              </w:tc>
              <w:tc>
                <w:tcPr>
                  <w:tcW w:w="680" w:type="dxa"/>
                  <w:vAlign w:val="center"/>
                </w:tcPr>
                <w:p>
                  <w:pPr>
                    <w:overflowPunct w:val="0"/>
                    <w:snapToGrid w:val="0"/>
                    <w:jc w:val="center"/>
                    <w:textAlignment w:val="baseline"/>
                    <w:rPr>
                      <w:b/>
                      <w:bCs/>
                      <w:snapToGrid w:val="0"/>
                      <w:kern w:val="24"/>
                      <w:szCs w:val="21"/>
                    </w:rPr>
                  </w:pPr>
                  <w:r>
                    <w:rPr>
                      <w:b/>
                      <w:bCs/>
                      <w:snapToGrid w:val="0"/>
                      <w:kern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restart"/>
                  <w:vAlign w:val="center"/>
                </w:tcPr>
                <w:p>
                  <w:pPr>
                    <w:snapToGrid w:val="0"/>
                    <w:jc w:val="center"/>
                    <w:rPr>
                      <w:szCs w:val="21"/>
                    </w:rPr>
                  </w:pPr>
                  <w:r>
                    <w:rPr>
                      <w:szCs w:val="21"/>
                    </w:rPr>
                    <w:t>主体工程</w:t>
                  </w:r>
                </w:p>
              </w:tc>
              <w:tc>
                <w:tcPr>
                  <w:tcW w:w="981" w:type="dxa"/>
                  <w:vMerge w:val="restart"/>
                  <w:vAlign w:val="center"/>
                </w:tcPr>
                <w:p>
                  <w:pPr>
                    <w:snapToGrid w:val="0"/>
                    <w:jc w:val="center"/>
                    <w:rPr>
                      <w:szCs w:val="21"/>
                    </w:rPr>
                  </w:pPr>
                  <w:r>
                    <w:rPr>
                      <w:rFonts w:hint="eastAsia"/>
                      <w:szCs w:val="21"/>
                    </w:rPr>
                    <w:t>子洲县人民医院分院</w:t>
                  </w:r>
                </w:p>
              </w:tc>
              <w:tc>
                <w:tcPr>
                  <w:tcW w:w="1275" w:type="dxa"/>
                  <w:vMerge w:val="restart"/>
                  <w:vAlign w:val="center"/>
                </w:tcPr>
                <w:p>
                  <w:pPr>
                    <w:snapToGrid w:val="0"/>
                    <w:jc w:val="left"/>
                    <w:rPr>
                      <w:szCs w:val="21"/>
                    </w:rPr>
                  </w:pPr>
                  <w:r>
                    <w:rPr>
                      <w:rFonts w:hint="eastAsia"/>
                      <w:szCs w:val="21"/>
                    </w:rPr>
                    <w:t>6</w:t>
                  </w:r>
                  <w:r>
                    <w:rPr>
                      <w:szCs w:val="21"/>
                    </w:rPr>
                    <w:t>F</w:t>
                  </w:r>
                  <w:r>
                    <w:rPr>
                      <w:rFonts w:hint="eastAsia"/>
                      <w:szCs w:val="21"/>
                    </w:rPr>
                    <w:t>，</w:t>
                  </w:r>
                  <w:r>
                    <w:rPr>
                      <w:szCs w:val="21"/>
                    </w:rPr>
                    <w:t>建筑</w:t>
                  </w:r>
                  <w:r>
                    <w:rPr>
                      <w:rFonts w:hint="eastAsia"/>
                      <w:szCs w:val="21"/>
                    </w:rPr>
                    <w:t>面积</w:t>
                  </w:r>
                  <w:r>
                    <w:rPr>
                      <w:szCs w:val="21"/>
                    </w:rPr>
                    <w:t>7756.72m</w:t>
                  </w:r>
                  <w:r>
                    <w:rPr>
                      <w:szCs w:val="21"/>
                      <w:vertAlign w:val="superscript"/>
                    </w:rPr>
                    <w:t>2</w:t>
                  </w:r>
                </w:p>
              </w:tc>
              <w:tc>
                <w:tcPr>
                  <w:tcW w:w="4822" w:type="dxa"/>
                  <w:vAlign w:val="center"/>
                </w:tcPr>
                <w:p>
                  <w:pPr>
                    <w:snapToGrid w:val="0"/>
                    <w:jc w:val="left"/>
                    <w:rPr>
                      <w:szCs w:val="21"/>
                    </w:rPr>
                  </w:pPr>
                  <w:r>
                    <w:rPr>
                      <w:rFonts w:hint="eastAsia"/>
                      <w:szCs w:val="21"/>
                    </w:rPr>
                    <w:t>一层：布置消防控制室、医生值班室、注射室、观察室、配液室、输液室、留观室、抢救室、诊断室、送风机房、取药室、挂号室、发热门诊、办公室等</w:t>
                  </w:r>
                  <w:r>
                    <w:rPr>
                      <w:bCs/>
                      <w:szCs w:val="21"/>
                    </w:rPr>
                    <w:t>。</w:t>
                  </w:r>
                </w:p>
              </w:tc>
              <w:tc>
                <w:tcPr>
                  <w:tcW w:w="680" w:type="dxa"/>
                  <w:vMerge w:val="restart"/>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Merge w:val="continue"/>
                  <w:vAlign w:val="center"/>
                </w:tcPr>
                <w:p>
                  <w:pPr>
                    <w:snapToGrid w:val="0"/>
                    <w:jc w:val="left"/>
                    <w:rPr>
                      <w:szCs w:val="21"/>
                    </w:rPr>
                  </w:pPr>
                </w:p>
              </w:tc>
              <w:tc>
                <w:tcPr>
                  <w:tcW w:w="4822" w:type="dxa"/>
                  <w:vAlign w:val="center"/>
                </w:tcPr>
                <w:p>
                  <w:pPr>
                    <w:snapToGrid w:val="0"/>
                    <w:jc w:val="left"/>
                    <w:rPr>
                      <w:szCs w:val="21"/>
                    </w:rPr>
                  </w:pPr>
                  <w:r>
                    <w:rPr>
                      <w:rFonts w:hint="eastAsia"/>
                      <w:szCs w:val="21"/>
                    </w:rPr>
                    <w:t>二层：布置口腔科、外科诊室、内科诊室、妇科诊室、值班室、制作室、石膏室、登记室、胃肠镜室、抢救室、新风机房、</w:t>
                  </w:r>
                  <w:r>
                    <w:rPr>
                      <w:szCs w:val="21"/>
                    </w:rPr>
                    <w:t xml:space="preserve">B </w:t>
                  </w:r>
                  <w:r>
                    <w:rPr>
                      <w:rFonts w:hint="eastAsia"/>
                      <w:szCs w:val="21"/>
                    </w:rPr>
                    <w:t>超、骨髓室、洗涤消毒室、试剂配制室、脑电、心电、血常规室、体液常规室、耳鼻喉科诊室、眼科诊室、心理诊室、神经外科、呼吸内科、呼吸内科、心理诊室、疼痛科、儿科治疗室、楼电梯间、卫生间等。</w:t>
                  </w:r>
                </w:p>
              </w:tc>
              <w:tc>
                <w:tcPr>
                  <w:tcW w:w="680" w:type="dxa"/>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Merge w:val="continue"/>
                  <w:vAlign w:val="center"/>
                </w:tcPr>
                <w:p>
                  <w:pPr>
                    <w:snapToGrid w:val="0"/>
                    <w:jc w:val="left"/>
                    <w:rPr>
                      <w:szCs w:val="21"/>
                    </w:rPr>
                  </w:pPr>
                </w:p>
              </w:tc>
              <w:tc>
                <w:tcPr>
                  <w:tcW w:w="4822" w:type="dxa"/>
                  <w:vAlign w:val="center"/>
                </w:tcPr>
                <w:p>
                  <w:pPr>
                    <w:snapToGrid w:val="0"/>
                    <w:jc w:val="left"/>
                    <w:rPr>
                      <w:szCs w:val="21"/>
                    </w:rPr>
                  </w:pPr>
                  <w:r>
                    <w:rPr>
                      <w:rFonts w:hint="eastAsia"/>
                      <w:szCs w:val="21"/>
                    </w:rPr>
                    <w:t>三层：布置办公室、准备间、设备间、污物收集、Ⅱ级手术室、护士室、术后苏醒、器械室、消毒、更衣室党建室、值班室、家属洽谈室、排风机房、会议室、多功能厅（活动室）、卫生间、楼电梯间等。</w:t>
                  </w:r>
                </w:p>
              </w:tc>
              <w:tc>
                <w:tcPr>
                  <w:tcW w:w="680" w:type="dxa"/>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Merge w:val="continue"/>
                  <w:vAlign w:val="center"/>
                </w:tcPr>
                <w:p>
                  <w:pPr>
                    <w:snapToGrid w:val="0"/>
                    <w:jc w:val="left"/>
                    <w:rPr>
                      <w:szCs w:val="21"/>
                    </w:rPr>
                  </w:pPr>
                </w:p>
              </w:tc>
              <w:tc>
                <w:tcPr>
                  <w:tcW w:w="4822" w:type="dxa"/>
                  <w:vAlign w:val="center"/>
                </w:tcPr>
                <w:p>
                  <w:pPr>
                    <w:snapToGrid w:val="0"/>
                    <w:jc w:val="left"/>
                    <w:rPr>
                      <w:szCs w:val="21"/>
                    </w:rPr>
                  </w:pPr>
                  <w:r>
                    <w:rPr>
                      <w:rFonts w:hint="eastAsia"/>
                      <w:szCs w:val="21"/>
                    </w:rPr>
                    <w:t>四层、五层、六层：护士服务站、无障碍病房、</w:t>
                  </w:r>
                </w:p>
                <w:p>
                  <w:pPr>
                    <w:snapToGrid w:val="0"/>
                    <w:jc w:val="left"/>
                    <w:rPr>
                      <w:szCs w:val="21"/>
                    </w:rPr>
                  </w:pPr>
                  <w:r>
                    <w:rPr>
                      <w:rFonts w:hint="eastAsia"/>
                      <w:szCs w:val="21"/>
                    </w:rPr>
                    <w:t>病房、医生值班室、楼电梯间等。</w:t>
                  </w:r>
                </w:p>
              </w:tc>
              <w:tc>
                <w:tcPr>
                  <w:tcW w:w="680" w:type="dxa"/>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restart"/>
                  <w:vAlign w:val="center"/>
                </w:tcPr>
                <w:p>
                  <w:pPr>
                    <w:snapToGrid w:val="0"/>
                    <w:jc w:val="center"/>
                    <w:rPr>
                      <w:szCs w:val="21"/>
                    </w:rPr>
                  </w:pPr>
                  <w:r>
                    <w:rPr>
                      <w:rFonts w:hint="eastAsia"/>
                      <w:szCs w:val="21"/>
                    </w:rPr>
                    <w:t>康养中心</w:t>
                  </w:r>
                </w:p>
              </w:tc>
              <w:tc>
                <w:tcPr>
                  <w:tcW w:w="1275" w:type="dxa"/>
                  <w:vMerge w:val="restart"/>
                  <w:vAlign w:val="center"/>
                </w:tcPr>
                <w:p>
                  <w:pPr>
                    <w:snapToGrid w:val="0"/>
                    <w:jc w:val="left"/>
                    <w:rPr>
                      <w:szCs w:val="21"/>
                    </w:rPr>
                  </w:pPr>
                  <w:r>
                    <w:rPr>
                      <w:szCs w:val="21"/>
                    </w:rPr>
                    <w:t>5F</w:t>
                  </w:r>
                  <w:r>
                    <w:rPr>
                      <w:rFonts w:hint="eastAsia"/>
                      <w:szCs w:val="21"/>
                    </w:rPr>
                    <w:t>，</w:t>
                  </w:r>
                  <w:r>
                    <w:rPr>
                      <w:szCs w:val="21"/>
                    </w:rPr>
                    <w:t>建筑</w:t>
                  </w:r>
                  <w:r>
                    <w:rPr>
                      <w:rFonts w:hint="eastAsia"/>
                      <w:szCs w:val="21"/>
                    </w:rPr>
                    <w:t>面积</w:t>
                  </w:r>
                  <w:r>
                    <w:rPr>
                      <w:szCs w:val="21"/>
                    </w:rPr>
                    <w:t>4435.25m</w:t>
                  </w:r>
                  <w:r>
                    <w:rPr>
                      <w:szCs w:val="21"/>
                      <w:vertAlign w:val="superscript"/>
                    </w:rPr>
                    <w:t>2</w:t>
                  </w:r>
                </w:p>
              </w:tc>
              <w:tc>
                <w:tcPr>
                  <w:tcW w:w="4822" w:type="dxa"/>
                  <w:vAlign w:val="center"/>
                </w:tcPr>
                <w:p>
                  <w:pPr>
                    <w:snapToGrid w:val="0"/>
                    <w:jc w:val="left"/>
                    <w:rPr>
                      <w:szCs w:val="21"/>
                    </w:rPr>
                  </w:pPr>
                  <w:r>
                    <w:rPr>
                      <w:rFonts w:hint="eastAsia"/>
                      <w:szCs w:val="21"/>
                    </w:rPr>
                    <w:t>一层：布置厨房、餐厅、医务保健室、心理疏导室、值班室、综合服务室、卫生间等。</w:t>
                  </w:r>
                </w:p>
              </w:tc>
              <w:tc>
                <w:tcPr>
                  <w:tcW w:w="680" w:type="dxa"/>
                  <w:vMerge w:val="restart"/>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Merge w:val="continue"/>
                  <w:vAlign w:val="center"/>
                </w:tcPr>
                <w:p>
                  <w:pPr>
                    <w:snapToGrid w:val="0"/>
                    <w:jc w:val="left"/>
                    <w:rPr>
                      <w:szCs w:val="21"/>
                    </w:rPr>
                  </w:pPr>
                </w:p>
              </w:tc>
              <w:tc>
                <w:tcPr>
                  <w:tcW w:w="4822" w:type="dxa"/>
                  <w:vAlign w:val="center"/>
                </w:tcPr>
                <w:p>
                  <w:pPr>
                    <w:snapToGrid w:val="0"/>
                    <w:jc w:val="left"/>
                    <w:rPr>
                      <w:szCs w:val="21"/>
                    </w:rPr>
                  </w:pPr>
                  <w:r>
                    <w:rPr>
                      <w:rFonts w:hint="eastAsia"/>
                      <w:szCs w:val="21"/>
                    </w:rPr>
                    <w:t>二层：管理室、多功能厅、图书阅览室、活动室、康复训练室、双人间、单人间、楼电梯间、卫生间等。</w:t>
                  </w:r>
                </w:p>
              </w:tc>
              <w:tc>
                <w:tcPr>
                  <w:tcW w:w="680" w:type="dxa"/>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Merge w:val="continue"/>
                  <w:vAlign w:val="center"/>
                </w:tcPr>
                <w:p>
                  <w:pPr>
                    <w:snapToGrid w:val="0"/>
                    <w:jc w:val="left"/>
                    <w:rPr>
                      <w:szCs w:val="21"/>
                    </w:rPr>
                  </w:pPr>
                </w:p>
              </w:tc>
              <w:tc>
                <w:tcPr>
                  <w:tcW w:w="4822" w:type="dxa"/>
                  <w:vAlign w:val="center"/>
                </w:tcPr>
                <w:p>
                  <w:pPr>
                    <w:snapToGrid w:val="0"/>
                    <w:jc w:val="left"/>
                    <w:rPr>
                      <w:szCs w:val="21"/>
                    </w:rPr>
                  </w:pPr>
                  <w:r>
                    <w:rPr>
                      <w:rFonts w:hint="eastAsia"/>
                      <w:szCs w:val="21"/>
                    </w:rPr>
                    <w:t>三层、四层、五层：布置双人间、单人间、楼电梯间、卫生间等。</w:t>
                  </w:r>
                </w:p>
              </w:tc>
              <w:tc>
                <w:tcPr>
                  <w:tcW w:w="680" w:type="dxa"/>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51" w:type="dxa"/>
                  <w:vMerge w:val="restart"/>
                  <w:vAlign w:val="center"/>
                </w:tcPr>
                <w:p>
                  <w:pPr>
                    <w:snapToGrid w:val="0"/>
                    <w:jc w:val="center"/>
                    <w:rPr>
                      <w:szCs w:val="21"/>
                    </w:rPr>
                  </w:pPr>
                  <w:r>
                    <w:rPr>
                      <w:szCs w:val="21"/>
                    </w:rPr>
                    <w:t>公用工程</w:t>
                  </w:r>
                </w:p>
              </w:tc>
              <w:tc>
                <w:tcPr>
                  <w:tcW w:w="981" w:type="dxa"/>
                  <w:vMerge w:val="restart"/>
                  <w:vAlign w:val="center"/>
                </w:tcPr>
                <w:p>
                  <w:pPr>
                    <w:snapToGrid w:val="0"/>
                    <w:jc w:val="center"/>
                    <w:rPr>
                      <w:szCs w:val="21"/>
                    </w:rPr>
                  </w:pPr>
                  <w:r>
                    <w:rPr>
                      <w:szCs w:val="21"/>
                    </w:rPr>
                    <w:t>供水</w:t>
                  </w:r>
                </w:p>
              </w:tc>
              <w:tc>
                <w:tcPr>
                  <w:tcW w:w="6097" w:type="dxa"/>
                  <w:gridSpan w:val="2"/>
                  <w:vAlign w:val="center"/>
                </w:tcPr>
                <w:p>
                  <w:pPr>
                    <w:snapToGrid w:val="0"/>
                    <w:rPr>
                      <w:szCs w:val="21"/>
                    </w:rPr>
                  </w:pPr>
                  <w:r>
                    <w:rPr>
                      <w:szCs w:val="21"/>
                    </w:rPr>
                    <w:t>由当地市政管网供给</w:t>
                  </w:r>
                  <w:r>
                    <w:rPr>
                      <w:rFonts w:hint="eastAsia"/>
                      <w:szCs w:val="21"/>
                    </w:rPr>
                    <w:t>。</w:t>
                  </w:r>
                </w:p>
              </w:tc>
              <w:tc>
                <w:tcPr>
                  <w:tcW w:w="680" w:type="dxa"/>
                  <w:vAlign w:val="center"/>
                </w:tcPr>
                <w:p>
                  <w:pPr>
                    <w:snapToGrid w:val="0"/>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51" w:type="dxa"/>
                  <w:vMerge w:val="continue"/>
                  <w:vAlign w:val="center"/>
                </w:tcPr>
                <w:p>
                  <w:pPr>
                    <w:snapToGrid w:val="0"/>
                  </w:pPr>
                </w:p>
              </w:tc>
              <w:tc>
                <w:tcPr>
                  <w:tcW w:w="981" w:type="dxa"/>
                  <w:vMerge w:val="continue"/>
                  <w:vAlign w:val="center"/>
                </w:tcPr>
                <w:p>
                  <w:pPr>
                    <w:snapToGrid w:val="0"/>
                  </w:pPr>
                </w:p>
              </w:tc>
              <w:tc>
                <w:tcPr>
                  <w:tcW w:w="6097" w:type="dxa"/>
                  <w:gridSpan w:val="2"/>
                  <w:vAlign w:val="center"/>
                </w:tcPr>
                <w:p>
                  <w:pPr>
                    <w:snapToGrid w:val="0"/>
                    <w:rPr>
                      <w:szCs w:val="21"/>
                    </w:rPr>
                  </w:pPr>
                  <w:r>
                    <w:rPr>
                      <w:rFonts w:hint="eastAsia"/>
                      <w:szCs w:val="21"/>
                    </w:rPr>
                    <w:t>项目检验用纯水，采用离子交换法制取纯水。</w:t>
                  </w:r>
                </w:p>
              </w:tc>
              <w:tc>
                <w:tcPr>
                  <w:tcW w:w="680" w:type="dxa"/>
                  <w:vAlign w:val="center"/>
                </w:tcPr>
                <w:p>
                  <w:pPr>
                    <w:snapToGrid w:val="0"/>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szCs w:val="21"/>
                    </w:rPr>
                    <w:t>排水</w:t>
                  </w:r>
                </w:p>
              </w:tc>
              <w:tc>
                <w:tcPr>
                  <w:tcW w:w="6097" w:type="dxa"/>
                  <w:gridSpan w:val="2"/>
                  <w:vAlign w:val="center"/>
                </w:tcPr>
                <w:p>
                  <w:pPr>
                    <w:snapToGrid w:val="0"/>
                    <w:rPr>
                      <w:szCs w:val="21"/>
                    </w:rPr>
                  </w:pPr>
                  <w:r>
                    <w:rPr>
                      <w:rFonts w:hint="eastAsia"/>
                      <w:szCs w:val="21"/>
                    </w:rPr>
                    <w:t>采取雨污分流，雨水排至污市政雨水管网，医院污水经污水管道排入医院自建污水处理站处理，目前污水处理后拉运至县城污水处理厂处理，待马蹄沟产业园区污水处理厂（正在建设中）投入运行后并网处理</w:t>
                  </w:r>
                  <w:r>
                    <w:rPr>
                      <w:rFonts w:hint="eastAsia"/>
                      <w:bCs/>
                      <w:szCs w:val="21"/>
                    </w:rPr>
                    <w:t>。</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szCs w:val="21"/>
                    </w:rPr>
                    <w:t>供电</w:t>
                  </w:r>
                </w:p>
              </w:tc>
              <w:tc>
                <w:tcPr>
                  <w:tcW w:w="6097" w:type="dxa"/>
                  <w:gridSpan w:val="2"/>
                  <w:vAlign w:val="center"/>
                </w:tcPr>
                <w:p>
                  <w:pPr>
                    <w:snapToGrid w:val="0"/>
                    <w:rPr>
                      <w:szCs w:val="21"/>
                    </w:rPr>
                  </w:pPr>
                  <w:r>
                    <w:rPr>
                      <w:bCs/>
                      <w:szCs w:val="21"/>
                    </w:rPr>
                    <w:t>市政供电。</w:t>
                  </w:r>
                </w:p>
              </w:tc>
              <w:tc>
                <w:tcPr>
                  <w:tcW w:w="680" w:type="dxa"/>
                  <w:vAlign w:val="center"/>
                </w:tcPr>
                <w:p>
                  <w:pPr>
                    <w:snapToGrid w:val="0"/>
                    <w:jc w:val="center"/>
                    <w:rPr>
                      <w:bCs/>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szCs w:val="21"/>
                    </w:rPr>
                    <w:t>制冷</w:t>
                  </w:r>
                </w:p>
              </w:tc>
              <w:tc>
                <w:tcPr>
                  <w:tcW w:w="6097" w:type="dxa"/>
                  <w:gridSpan w:val="2"/>
                  <w:vAlign w:val="center"/>
                </w:tcPr>
                <w:p>
                  <w:pPr>
                    <w:snapToGrid w:val="0"/>
                    <w:rPr>
                      <w:szCs w:val="21"/>
                    </w:rPr>
                  </w:pPr>
                  <w:r>
                    <w:rPr>
                      <w:szCs w:val="21"/>
                    </w:rPr>
                    <w:t>采用中央空调。</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rFonts w:hint="eastAsia"/>
                      <w:szCs w:val="21"/>
                    </w:rPr>
                    <w:t>采暖</w:t>
                  </w:r>
                </w:p>
              </w:tc>
              <w:tc>
                <w:tcPr>
                  <w:tcW w:w="6097" w:type="dxa"/>
                  <w:gridSpan w:val="2"/>
                  <w:vAlign w:val="center"/>
                </w:tcPr>
                <w:p>
                  <w:pPr>
                    <w:snapToGrid w:val="0"/>
                    <w:rPr>
                      <w:szCs w:val="21"/>
                    </w:rPr>
                  </w:pPr>
                  <w:r>
                    <w:rPr>
                      <w:rFonts w:hint="eastAsia"/>
                      <w:szCs w:val="21"/>
                    </w:rPr>
                    <w:t>采取集中采暖方式，锅炉房设有1台2t</w:t>
                  </w:r>
                  <w:r>
                    <w:rPr>
                      <w:kern w:val="0"/>
                      <w:szCs w:val="21"/>
                      <w:lang w:bidi="ar"/>
                    </w:rPr>
                    <w:t>/</w:t>
                  </w:r>
                  <w:r>
                    <w:rPr>
                      <w:rFonts w:hint="eastAsia"/>
                      <w:kern w:val="0"/>
                      <w:szCs w:val="21"/>
                      <w:lang w:bidi="ar"/>
                    </w:rPr>
                    <w:t>h热水锅炉，用于医院冬季供暖，且锅炉燃料为天然气，由市政管网供给</w:t>
                  </w:r>
                  <w:r>
                    <w:rPr>
                      <w:rFonts w:hint="eastAsia"/>
                      <w:szCs w:val="21"/>
                    </w:rPr>
                    <w:t>。</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rFonts w:hint="eastAsia"/>
                      <w:szCs w:val="21"/>
                    </w:rPr>
                    <w:t>供气</w:t>
                  </w:r>
                </w:p>
              </w:tc>
              <w:tc>
                <w:tcPr>
                  <w:tcW w:w="6097" w:type="dxa"/>
                  <w:gridSpan w:val="2"/>
                  <w:vAlign w:val="center"/>
                </w:tcPr>
                <w:p>
                  <w:pPr>
                    <w:snapToGrid w:val="0"/>
                    <w:rPr>
                      <w:szCs w:val="21"/>
                    </w:rPr>
                  </w:pPr>
                  <w:r>
                    <w:rPr>
                      <w:rFonts w:hint="eastAsia"/>
                      <w:szCs w:val="21"/>
                    </w:rPr>
                    <w:t>天然气经天然气市政管网供给</w:t>
                  </w:r>
                </w:p>
              </w:tc>
              <w:tc>
                <w:tcPr>
                  <w:tcW w:w="680" w:type="dxa"/>
                  <w:vAlign w:val="center"/>
                </w:tcPr>
                <w:p>
                  <w:pPr>
                    <w:snapToGrid w:val="0"/>
                    <w:jc w:val="center"/>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rFonts w:hint="eastAsia"/>
                      <w:szCs w:val="21"/>
                    </w:rPr>
                    <w:t>通风</w:t>
                  </w:r>
                </w:p>
              </w:tc>
              <w:tc>
                <w:tcPr>
                  <w:tcW w:w="6097" w:type="dxa"/>
                  <w:gridSpan w:val="2"/>
                  <w:vAlign w:val="center"/>
                </w:tcPr>
                <w:p>
                  <w:pPr>
                    <w:snapToGrid w:val="0"/>
                    <w:rPr>
                      <w:szCs w:val="21"/>
                    </w:rPr>
                  </w:pPr>
                  <w:r>
                    <w:rPr>
                      <w:rFonts w:hint="eastAsia"/>
                      <w:szCs w:val="21"/>
                    </w:rPr>
                    <w:t>设置机械送风系统，辅以自然补风。</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restart"/>
                  <w:vAlign w:val="center"/>
                </w:tcPr>
                <w:p>
                  <w:pPr>
                    <w:snapToGrid w:val="0"/>
                    <w:jc w:val="center"/>
                    <w:rPr>
                      <w:szCs w:val="21"/>
                    </w:rPr>
                  </w:pPr>
                  <w:r>
                    <w:rPr>
                      <w:szCs w:val="21"/>
                    </w:rPr>
                    <w:t>环保工程</w:t>
                  </w:r>
                </w:p>
              </w:tc>
              <w:tc>
                <w:tcPr>
                  <w:tcW w:w="981" w:type="dxa"/>
                  <w:vMerge w:val="restart"/>
                  <w:vAlign w:val="center"/>
                </w:tcPr>
                <w:p>
                  <w:pPr>
                    <w:snapToGrid w:val="0"/>
                    <w:jc w:val="center"/>
                    <w:rPr>
                      <w:szCs w:val="21"/>
                    </w:rPr>
                  </w:pPr>
                  <w:r>
                    <w:rPr>
                      <w:szCs w:val="21"/>
                    </w:rPr>
                    <w:t>废气</w:t>
                  </w:r>
                </w:p>
              </w:tc>
              <w:tc>
                <w:tcPr>
                  <w:tcW w:w="1275" w:type="dxa"/>
                  <w:vAlign w:val="center"/>
                </w:tcPr>
                <w:p>
                  <w:pPr>
                    <w:snapToGrid w:val="0"/>
                    <w:jc w:val="center"/>
                    <w:rPr>
                      <w:bCs/>
                      <w:szCs w:val="21"/>
                    </w:rPr>
                  </w:pPr>
                  <w:r>
                    <w:rPr>
                      <w:rFonts w:hint="eastAsia"/>
                      <w:bCs/>
                      <w:szCs w:val="21"/>
                    </w:rPr>
                    <w:t>污水处理站废气</w:t>
                  </w:r>
                </w:p>
              </w:tc>
              <w:tc>
                <w:tcPr>
                  <w:tcW w:w="4822" w:type="dxa"/>
                  <w:vAlign w:val="center"/>
                </w:tcPr>
                <w:p>
                  <w:pPr>
                    <w:snapToGrid w:val="0"/>
                    <w:rPr>
                      <w:bCs/>
                      <w:szCs w:val="21"/>
                    </w:rPr>
                  </w:pPr>
                  <w:r>
                    <w:rPr>
                      <w:rFonts w:hint="eastAsia"/>
                      <w:bCs/>
                      <w:szCs w:val="21"/>
                    </w:rPr>
                    <w:t>污水处理设施</w:t>
                  </w:r>
                  <w:r>
                    <w:rPr>
                      <w:bCs/>
                      <w:szCs w:val="21"/>
                    </w:rPr>
                    <w:t>密闭，</w:t>
                  </w:r>
                  <w:r>
                    <w:rPr>
                      <w:rFonts w:hint="eastAsia"/>
                      <w:bCs/>
                      <w:szCs w:val="21"/>
                    </w:rPr>
                    <w:t>污水处理恶臭和污泥暂存恶臭收集经活性炭吸附装置处理后由1</w:t>
                  </w:r>
                  <w:r>
                    <w:rPr>
                      <w:bCs/>
                      <w:szCs w:val="21"/>
                    </w:rPr>
                    <w:t>5m</w:t>
                  </w:r>
                  <w:r>
                    <w:rPr>
                      <w:rFonts w:hint="eastAsia"/>
                      <w:bCs/>
                      <w:szCs w:val="21"/>
                    </w:rPr>
                    <w:t>高排气筒排放，且定期投放除臭剂。</w:t>
                  </w:r>
                </w:p>
              </w:tc>
              <w:tc>
                <w:tcPr>
                  <w:tcW w:w="680" w:type="dxa"/>
                  <w:vAlign w:val="center"/>
                </w:tcPr>
                <w:p>
                  <w:pPr>
                    <w:snapToGrid w:val="0"/>
                    <w:jc w:val="center"/>
                    <w:rPr>
                      <w:bCs/>
                      <w:szCs w:val="21"/>
                    </w:rPr>
                  </w:pPr>
                  <w:r>
                    <w:rPr>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Align w:val="center"/>
                </w:tcPr>
                <w:p>
                  <w:pPr>
                    <w:snapToGrid w:val="0"/>
                    <w:jc w:val="center"/>
                    <w:rPr>
                      <w:bCs/>
                      <w:szCs w:val="21"/>
                    </w:rPr>
                  </w:pPr>
                  <w:r>
                    <w:rPr>
                      <w:rFonts w:hint="eastAsia"/>
                      <w:bCs/>
                      <w:szCs w:val="21"/>
                    </w:rPr>
                    <w:t>锅炉废气</w:t>
                  </w:r>
                </w:p>
              </w:tc>
              <w:tc>
                <w:tcPr>
                  <w:tcW w:w="4822" w:type="dxa"/>
                  <w:vAlign w:val="center"/>
                </w:tcPr>
                <w:p>
                  <w:pPr>
                    <w:snapToGrid w:val="0"/>
                    <w:rPr>
                      <w:bCs/>
                      <w:szCs w:val="21"/>
                    </w:rPr>
                  </w:pPr>
                  <w:r>
                    <w:rPr>
                      <w:rFonts w:hint="eastAsia"/>
                      <w:szCs w:val="21"/>
                    </w:rPr>
                    <w:t>燃气锅炉配备低氮燃烧器，燃烧产生的废气经集气管道收集后由</w:t>
                  </w:r>
                  <w:r>
                    <w:rPr>
                      <w:szCs w:val="21"/>
                    </w:rPr>
                    <w:t>28.7m</w:t>
                  </w:r>
                  <w:r>
                    <w:rPr>
                      <w:rFonts w:hint="eastAsia"/>
                      <w:szCs w:val="21"/>
                    </w:rPr>
                    <w:t>高排气筒排放。</w:t>
                  </w:r>
                </w:p>
              </w:tc>
              <w:tc>
                <w:tcPr>
                  <w:tcW w:w="680" w:type="dxa"/>
                  <w:vAlign w:val="center"/>
                </w:tcPr>
                <w:p>
                  <w:pPr>
                    <w:snapToGrid w:val="0"/>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Align w:val="center"/>
                </w:tcPr>
                <w:p>
                  <w:pPr>
                    <w:snapToGrid w:val="0"/>
                    <w:jc w:val="center"/>
                    <w:rPr>
                      <w:bCs/>
                      <w:szCs w:val="21"/>
                    </w:rPr>
                  </w:pPr>
                  <w:r>
                    <w:rPr>
                      <w:rFonts w:hint="eastAsia"/>
                      <w:szCs w:val="21"/>
                    </w:rPr>
                    <w:t>发电机废气</w:t>
                  </w:r>
                </w:p>
              </w:tc>
              <w:tc>
                <w:tcPr>
                  <w:tcW w:w="4822" w:type="dxa"/>
                  <w:vAlign w:val="center"/>
                </w:tcPr>
                <w:p>
                  <w:pPr>
                    <w:snapToGrid w:val="0"/>
                    <w:rPr>
                      <w:szCs w:val="21"/>
                    </w:rPr>
                  </w:pPr>
                  <w:r>
                    <w:rPr>
                      <w:rFonts w:hint="eastAsia"/>
                      <w:szCs w:val="21"/>
                    </w:rPr>
                    <w:t>采用符合环保要求的轻质柴油，燃烧废气由经专用烟道引至楼顶排放。</w:t>
                  </w:r>
                </w:p>
              </w:tc>
              <w:tc>
                <w:tcPr>
                  <w:tcW w:w="680" w:type="dxa"/>
                  <w:vAlign w:val="center"/>
                </w:tcPr>
                <w:p>
                  <w:pPr>
                    <w:snapToGrid w:val="0"/>
                    <w:jc w:val="center"/>
                    <w:rPr>
                      <w:bCs/>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Align w:val="center"/>
                </w:tcPr>
                <w:p>
                  <w:pPr>
                    <w:snapToGrid w:val="0"/>
                    <w:jc w:val="center"/>
                    <w:rPr>
                      <w:bCs/>
                      <w:szCs w:val="21"/>
                    </w:rPr>
                  </w:pPr>
                  <w:r>
                    <w:rPr>
                      <w:rFonts w:hint="eastAsia"/>
                      <w:bCs/>
                      <w:szCs w:val="21"/>
                    </w:rPr>
                    <w:t>油烟废气</w:t>
                  </w:r>
                </w:p>
              </w:tc>
              <w:tc>
                <w:tcPr>
                  <w:tcW w:w="4822" w:type="dxa"/>
                  <w:vAlign w:val="center"/>
                </w:tcPr>
                <w:p>
                  <w:pPr>
                    <w:snapToGrid w:val="0"/>
                    <w:rPr>
                      <w:bCs/>
                      <w:szCs w:val="21"/>
                    </w:rPr>
                  </w:pPr>
                  <w:r>
                    <w:rPr>
                      <w:rFonts w:hint="eastAsia"/>
                      <w:szCs w:val="21"/>
                    </w:rPr>
                    <w:t>油烟废气经油烟净化器处理后由专用烟道引至建筑物顶部排放。</w:t>
                  </w:r>
                </w:p>
              </w:tc>
              <w:tc>
                <w:tcPr>
                  <w:tcW w:w="680" w:type="dxa"/>
                  <w:vAlign w:val="center"/>
                </w:tcPr>
                <w:p>
                  <w:pPr>
                    <w:snapToGrid w:val="0"/>
                    <w:jc w:val="center"/>
                    <w:rPr>
                      <w:bCs/>
                      <w:szCs w:val="21"/>
                    </w:rPr>
                  </w:pPr>
                  <w:r>
                    <w:rPr>
                      <w:rFonts w:hint="eastAsia"/>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2256" w:type="dxa"/>
                  <w:gridSpan w:val="2"/>
                  <w:vMerge w:val="restart"/>
                  <w:vAlign w:val="center"/>
                </w:tcPr>
                <w:p>
                  <w:pPr>
                    <w:snapToGrid w:val="0"/>
                    <w:jc w:val="center"/>
                    <w:rPr>
                      <w:szCs w:val="21"/>
                    </w:rPr>
                  </w:pPr>
                  <w:r>
                    <w:rPr>
                      <w:szCs w:val="21"/>
                    </w:rPr>
                    <w:t>废水</w:t>
                  </w:r>
                </w:p>
              </w:tc>
              <w:tc>
                <w:tcPr>
                  <w:tcW w:w="4822" w:type="dxa"/>
                  <w:vAlign w:val="center"/>
                </w:tcPr>
                <w:p>
                  <w:pPr>
                    <w:snapToGrid w:val="0"/>
                    <w:rPr>
                      <w:szCs w:val="21"/>
                    </w:rPr>
                  </w:pPr>
                  <w:r>
                    <w:rPr>
                      <w:rFonts w:hint="eastAsia"/>
                      <w:szCs w:val="21"/>
                    </w:rPr>
                    <w:t>新建地埋式污水处理站一座，处理规模为60m</w:t>
                  </w:r>
                  <w:r>
                    <w:rPr>
                      <w:szCs w:val="21"/>
                      <w:vertAlign w:val="superscript"/>
                    </w:rPr>
                    <w:t>3</w:t>
                  </w:r>
                  <w:r>
                    <w:rPr>
                      <w:szCs w:val="21"/>
                    </w:rPr>
                    <w:t>/d</w:t>
                  </w:r>
                  <w:r>
                    <w:rPr>
                      <w:rFonts w:hint="eastAsia"/>
                      <w:szCs w:val="21"/>
                    </w:rPr>
                    <w:t>，采用</w:t>
                  </w:r>
                  <w:r>
                    <w:rPr>
                      <w:rFonts w:hint="eastAsia"/>
                      <w:spacing w:val="-6"/>
                    </w:rPr>
                    <w:t>“</w:t>
                  </w:r>
                  <w:r>
                    <w:rPr>
                      <w:spacing w:val="-6"/>
                    </w:rPr>
                    <w:t>调节池+混凝沉淀</w:t>
                  </w:r>
                  <w:r>
                    <w:rPr>
                      <w:rFonts w:hint="eastAsia"/>
                      <w:spacing w:val="-6"/>
                    </w:rPr>
                    <w:t>（一级强化）</w:t>
                  </w:r>
                  <w:r>
                    <w:rPr>
                      <w:spacing w:val="-6"/>
                    </w:rPr>
                    <w:t>+</w:t>
                  </w:r>
                  <w:r>
                    <w:rPr>
                      <w:rFonts w:hint="eastAsia"/>
                      <w:spacing w:val="-6"/>
                    </w:rPr>
                    <w:t>次氯酸钠</w:t>
                  </w:r>
                  <w:r>
                    <w:rPr>
                      <w:spacing w:val="-6"/>
                    </w:rPr>
                    <w:t>消毒</w:t>
                  </w:r>
                  <w:r>
                    <w:rPr>
                      <w:rFonts w:hint="eastAsia"/>
                      <w:spacing w:val="-6"/>
                    </w:rPr>
                    <w:t>”</w:t>
                  </w:r>
                  <w:r>
                    <w:rPr>
                      <w:rFonts w:hint="eastAsia"/>
                      <w:szCs w:val="21"/>
                    </w:rPr>
                    <w:t>工艺，医院污水经自建污水处理站进行处理，目前污水处理后拉运至县城污水处理厂处理，待马蹄沟产业园区污水处理厂（正在建设中）投入运行后并网处理。</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2256" w:type="dxa"/>
                  <w:gridSpan w:val="2"/>
                  <w:vMerge w:val="continue"/>
                  <w:vAlign w:val="center"/>
                </w:tcPr>
                <w:p>
                  <w:pPr>
                    <w:snapToGrid w:val="0"/>
                    <w:jc w:val="center"/>
                    <w:rPr>
                      <w:szCs w:val="21"/>
                    </w:rPr>
                  </w:pPr>
                </w:p>
              </w:tc>
              <w:tc>
                <w:tcPr>
                  <w:tcW w:w="4822" w:type="dxa"/>
                  <w:vAlign w:val="center"/>
                </w:tcPr>
                <w:p>
                  <w:pPr>
                    <w:snapToGrid w:val="0"/>
                    <w:rPr>
                      <w:szCs w:val="21"/>
                    </w:rPr>
                  </w:pPr>
                  <w:r>
                    <w:rPr>
                      <w:rFonts w:hint="eastAsia"/>
                      <w:szCs w:val="21"/>
                    </w:rPr>
                    <w:t>设置雨水管网，排入市政雨水管网。</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Align w:val="center"/>
                </w:tcPr>
                <w:p>
                  <w:pPr>
                    <w:snapToGrid w:val="0"/>
                    <w:jc w:val="center"/>
                    <w:rPr>
                      <w:szCs w:val="21"/>
                    </w:rPr>
                  </w:pPr>
                  <w:r>
                    <w:rPr>
                      <w:szCs w:val="21"/>
                    </w:rPr>
                    <w:t>噪声</w:t>
                  </w:r>
                </w:p>
              </w:tc>
              <w:tc>
                <w:tcPr>
                  <w:tcW w:w="6097" w:type="dxa"/>
                  <w:gridSpan w:val="2"/>
                  <w:vAlign w:val="center"/>
                </w:tcPr>
                <w:p>
                  <w:pPr>
                    <w:snapToGrid w:val="0"/>
                    <w:rPr>
                      <w:kern w:val="0"/>
                      <w:szCs w:val="21"/>
                    </w:rPr>
                  </w:pPr>
                  <w:r>
                    <w:rPr>
                      <w:kern w:val="0"/>
                      <w:szCs w:val="21"/>
                    </w:rPr>
                    <w:t>采取基础减振、建筑隔声等措施。</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restart"/>
                  <w:vAlign w:val="center"/>
                </w:tcPr>
                <w:p>
                  <w:pPr>
                    <w:snapToGrid w:val="0"/>
                    <w:jc w:val="center"/>
                    <w:rPr>
                      <w:szCs w:val="21"/>
                    </w:rPr>
                  </w:pPr>
                  <w:r>
                    <w:rPr>
                      <w:szCs w:val="21"/>
                    </w:rPr>
                    <w:t>固废</w:t>
                  </w:r>
                </w:p>
              </w:tc>
              <w:tc>
                <w:tcPr>
                  <w:tcW w:w="1275" w:type="dxa"/>
                  <w:vAlign w:val="center"/>
                </w:tcPr>
                <w:p>
                  <w:pPr>
                    <w:snapToGrid w:val="0"/>
                    <w:jc w:val="center"/>
                    <w:rPr>
                      <w:bCs/>
                      <w:szCs w:val="21"/>
                    </w:rPr>
                  </w:pPr>
                  <w:r>
                    <w:rPr>
                      <w:szCs w:val="21"/>
                    </w:rPr>
                    <w:t>生活垃圾</w:t>
                  </w:r>
                </w:p>
              </w:tc>
              <w:tc>
                <w:tcPr>
                  <w:tcW w:w="4822" w:type="dxa"/>
                  <w:vAlign w:val="center"/>
                </w:tcPr>
                <w:p>
                  <w:pPr>
                    <w:snapToGrid w:val="0"/>
                    <w:rPr>
                      <w:bCs/>
                      <w:szCs w:val="21"/>
                    </w:rPr>
                  </w:pPr>
                  <w:r>
                    <w:rPr>
                      <w:bCs/>
                      <w:szCs w:val="21"/>
                    </w:rPr>
                    <w:t>设分类垃圾桶分类收集，交环卫部门统一处置</w:t>
                  </w:r>
                  <w:r>
                    <w:rPr>
                      <w:szCs w:val="21"/>
                    </w:rPr>
                    <w:t>。</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jc w:val="center"/>
                    <w:rPr>
                      <w:szCs w:val="21"/>
                    </w:rPr>
                  </w:pPr>
                </w:p>
              </w:tc>
              <w:tc>
                <w:tcPr>
                  <w:tcW w:w="981" w:type="dxa"/>
                  <w:vMerge w:val="continue"/>
                  <w:vAlign w:val="center"/>
                </w:tcPr>
                <w:p>
                  <w:pPr>
                    <w:snapToGrid w:val="0"/>
                    <w:jc w:val="center"/>
                    <w:rPr>
                      <w:szCs w:val="21"/>
                    </w:rPr>
                  </w:pPr>
                </w:p>
              </w:tc>
              <w:tc>
                <w:tcPr>
                  <w:tcW w:w="1275" w:type="dxa"/>
                  <w:vAlign w:val="center"/>
                </w:tcPr>
                <w:p>
                  <w:pPr>
                    <w:snapToGrid w:val="0"/>
                    <w:jc w:val="center"/>
                    <w:rPr>
                      <w:szCs w:val="21"/>
                    </w:rPr>
                  </w:pPr>
                  <w:r>
                    <w:rPr>
                      <w:rFonts w:hint="eastAsia"/>
                      <w:szCs w:val="21"/>
                    </w:rPr>
                    <w:t>废油脂</w:t>
                  </w:r>
                </w:p>
              </w:tc>
              <w:tc>
                <w:tcPr>
                  <w:tcW w:w="4822" w:type="dxa"/>
                  <w:vAlign w:val="center"/>
                </w:tcPr>
                <w:p>
                  <w:pPr>
                    <w:snapToGrid w:val="0"/>
                    <w:rPr>
                      <w:bCs/>
                      <w:szCs w:val="21"/>
                    </w:rPr>
                  </w:pPr>
                  <w:r>
                    <w:rPr>
                      <w:rFonts w:hint="eastAsia"/>
                      <w:szCs w:val="21"/>
                    </w:rPr>
                    <w:t>由专用容器盛放，定期交由有资质单位外运处置。</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rPr>
                      <w:szCs w:val="21"/>
                    </w:rPr>
                  </w:pPr>
                </w:p>
              </w:tc>
              <w:tc>
                <w:tcPr>
                  <w:tcW w:w="981" w:type="dxa"/>
                  <w:vMerge w:val="continue"/>
                  <w:vAlign w:val="center"/>
                </w:tcPr>
                <w:p>
                  <w:pPr>
                    <w:snapToGrid w:val="0"/>
                    <w:rPr>
                      <w:szCs w:val="21"/>
                    </w:rPr>
                  </w:pPr>
                </w:p>
              </w:tc>
              <w:tc>
                <w:tcPr>
                  <w:tcW w:w="1275" w:type="dxa"/>
                  <w:vAlign w:val="center"/>
                </w:tcPr>
                <w:p>
                  <w:pPr>
                    <w:snapToGrid w:val="0"/>
                    <w:jc w:val="center"/>
                    <w:rPr>
                      <w:bCs/>
                      <w:szCs w:val="21"/>
                    </w:rPr>
                  </w:pPr>
                  <w:r>
                    <w:rPr>
                      <w:bCs/>
                      <w:szCs w:val="21"/>
                    </w:rPr>
                    <w:t>医疗废物（含污泥）</w:t>
                  </w:r>
                </w:p>
              </w:tc>
              <w:tc>
                <w:tcPr>
                  <w:tcW w:w="4822" w:type="dxa"/>
                  <w:vAlign w:val="center"/>
                </w:tcPr>
                <w:p>
                  <w:pPr>
                    <w:snapToGrid w:val="0"/>
                    <w:rPr>
                      <w:szCs w:val="21"/>
                    </w:rPr>
                  </w:pPr>
                  <w:r>
                    <w:rPr>
                      <w:bCs/>
                      <w:szCs w:val="21"/>
                    </w:rPr>
                    <w:t>设医废暂存间一间，地面采取防渗措施，并分类存放，定期委托有资质单位回收处置</w:t>
                  </w:r>
                  <w:r>
                    <w:rPr>
                      <w:rFonts w:hint="eastAsia"/>
                      <w:bCs/>
                      <w:szCs w:val="21"/>
                    </w:rPr>
                    <w:t>；</w:t>
                  </w:r>
                  <w:r>
                    <w:rPr>
                      <w:rFonts w:hint="eastAsia"/>
                      <w:szCs w:val="21"/>
                    </w:rPr>
                    <w:t>污水处理设施中污泥定期清理消毒后</w:t>
                  </w:r>
                  <w:r>
                    <w:rPr>
                      <w:bCs/>
                      <w:szCs w:val="21"/>
                    </w:rPr>
                    <w:t>委托有资质单位回收处置</w:t>
                  </w:r>
                  <w:r>
                    <w:rPr>
                      <w:rFonts w:hint="eastAsia"/>
                      <w:bCs/>
                      <w:szCs w:val="21"/>
                    </w:rPr>
                    <w:t>。</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rPr>
                      <w:szCs w:val="21"/>
                    </w:rPr>
                  </w:pPr>
                </w:p>
              </w:tc>
              <w:tc>
                <w:tcPr>
                  <w:tcW w:w="981" w:type="dxa"/>
                  <w:vMerge w:val="continue"/>
                  <w:vAlign w:val="center"/>
                </w:tcPr>
                <w:p>
                  <w:pPr>
                    <w:snapToGrid w:val="0"/>
                    <w:rPr>
                      <w:szCs w:val="21"/>
                    </w:rPr>
                  </w:pPr>
                </w:p>
              </w:tc>
              <w:tc>
                <w:tcPr>
                  <w:tcW w:w="1275" w:type="dxa"/>
                  <w:vAlign w:val="center"/>
                </w:tcPr>
                <w:p>
                  <w:pPr>
                    <w:snapToGrid w:val="0"/>
                    <w:jc w:val="center"/>
                    <w:rPr>
                      <w:bCs/>
                      <w:szCs w:val="21"/>
                    </w:rPr>
                  </w:pPr>
                  <w:r>
                    <w:rPr>
                      <w:rFonts w:hint="eastAsia"/>
                      <w:bCs/>
                      <w:szCs w:val="21"/>
                    </w:rPr>
                    <w:t>废气输液瓶</w:t>
                  </w:r>
                </w:p>
              </w:tc>
              <w:tc>
                <w:tcPr>
                  <w:tcW w:w="4822" w:type="dxa"/>
                  <w:vAlign w:val="center"/>
                </w:tcPr>
                <w:p>
                  <w:pPr>
                    <w:snapToGrid w:val="0"/>
                    <w:rPr>
                      <w:bCs/>
                      <w:szCs w:val="21"/>
                    </w:rPr>
                  </w:pPr>
                  <w:r>
                    <w:rPr>
                      <w:rFonts w:hint="eastAsia"/>
                      <w:bCs/>
                      <w:szCs w:val="21"/>
                    </w:rPr>
                    <w:t>由专门单位回收处置。</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rPr>
                      <w:szCs w:val="21"/>
                    </w:rPr>
                  </w:pPr>
                </w:p>
              </w:tc>
              <w:tc>
                <w:tcPr>
                  <w:tcW w:w="981" w:type="dxa"/>
                  <w:vMerge w:val="continue"/>
                  <w:vAlign w:val="center"/>
                </w:tcPr>
                <w:p>
                  <w:pPr>
                    <w:snapToGrid w:val="0"/>
                    <w:rPr>
                      <w:szCs w:val="21"/>
                    </w:rPr>
                  </w:pPr>
                </w:p>
              </w:tc>
              <w:tc>
                <w:tcPr>
                  <w:tcW w:w="1275" w:type="dxa"/>
                  <w:vAlign w:val="center"/>
                </w:tcPr>
                <w:p>
                  <w:pPr>
                    <w:snapToGrid w:val="0"/>
                    <w:jc w:val="center"/>
                    <w:rPr>
                      <w:bCs/>
                      <w:szCs w:val="21"/>
                    </w:rPr>
                  </w:pPr>
                  <w:r>
                    <w:rPr>
                      <w:rFonts w:hint="eastAsia"/>
                      <w:bCs/>
                      <w:szCs w:val="21"/>
                    </w:rPr>
                    <w:t>包装袋</w:t>
                  </w:r>
                </w:p>
              </w:tc>
              <w:tc>
                <w:tcPr>
                  <w:tcW w:w="4822" w:type="dxa"/>
                  <w:vAlign w:val="center"/>
                </w:tcPr>
                <w:p>
                  <w:pPr>
                    <w:snapToGrid w:val="0"/>
                    <w:rPr>
                      <w:bCs/>
                      <w:szCs w:val="21"/>
                    </w:rPr>
                  </w:pPr>
                  <w:r>
                    <w:rPr>
                      <w:rFonts w:hint="eastAsia"/>
                      <w:kern w:val="0"/>
                      <w:szCs w:val="21"/>
                    </w:rPr>
                    <w:t>集中收集后由废旧资源回收部门回收利用。</w:t>
                  </w:r>
                </w:p>
              </w:tc>
              <w:tc>
                <w:tcPr>
                  <w:tcW w:w="680" w:type="dxa"/>
                  <w:vAlign w:val="center"/>
                </w:tcPr>
                <w:p>
                  <w:pPr>
                    <w:snapToGrid w:val="0"/>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rPr>
                      <w:bCs/>
                      <w:szCs w:val="21"/>
                    </w:rPr>
                  </w:pPr>
                </w:p>
              </w:tc>
              <w:tc>
                <w:tcPr>
                  <w:tcW w:w="981" w:type="dxa"/>
                  <w:vMerge w:val="continue"/>
                  <w:vAlign w:val="center"/>
                </w:tcPr>
                <w:p>
                  <w:pPr>
                    <w:snapToGrid w:val="0"/>
                    <w:rPr>
                      <w:bCs/>
                      <w:szCs w:val="21"/>
                    </w:rPr>
                  </w:pPr>
                </w:p>
              </w:tc>
              <w:tc>
                <w:tcPr>
                  <w:tcW w:w="1275" w:type="dxa"/>
                  <w:vAlign w:val="center"/>
                </w:tcPr>
                <w:p>
                  <w:pPr>
                    <w:snapToGrid w:val="0"/>
                    <w:jc w:val="center"/>
                    <w:rPr>
                      <w:bCs/>
                      <w:szCs w:val="21"/>
                    </w:rPr>
                  </w:pPr>
                  <w:r>
                    <w:rPr>
                      <w:rFonts w:hint="eastAsia"/>
                      <w:szCs w:val="21"/>
                    </w:rPr>
                    <w:t>废离子交换树脂</w:t>
                  </w:r>
                </w:p>
              </w:tc>
              <w:tc>
                <w:tcPr>
                  <w:tcW w:w="4822" w:type="dxa"/>
                  <w:vAlign w:val="center"/>
                </w:tcPr>
                <w:p>
                  <w:pPr>
                    <w:snapToGrid w:val="0"/>
                    <w:rPr>
                      <w:bCs/>
                      <w:szCs w:val="21"/>
                    </w:rPr>
                  </w:pPr>
                  <w:r>
                    <w:rPr>
                      <w:rFonts w:hint="eastAsia"/>
                      <w:szCs w:val="21"/>
                    </w:rPr>
                    <w:t>定期更换，交由厂家更换并回收处置</w:t>
                  </w:r>
                  <w:r>
                    <w:rPr>
                      <w:rFonts w:hint="eastAsia"/>
                      <w:kern w:val="0"/>
                      <w:szCs w:val="21"/>
                    </w:rPr>
                    <w:t>。</w:t>
                  </w:r>
                </w:p>
              </w:tc>
              <w:tc>
                <w:tcPr>
                  <w:tcW w:w="680" w:type="dxa"/>
                  <w:vAlign w:val="center"/>
                </w:tcPr>
                <w:p>
                  <w:pPr>
                    <w:snapToGrid w:val="0"/>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vMerge w:val="continue"/>
                  <w:vAlign w:val="center"/>
                </w:tcPr>
                <w:p>
                  <w:pPr>
                    <w:snapToGrid w:val="0"/>
                    <w:rPr>
                      <w:bCs/>
                      <w:szCs w:val="21"/>
                    </w:rPr>
                  </w:pPr>
                </w:p>
              </w:tc>
              <w:tc>
                <w:tcPr>
                  <w:tcW w:w="2256" w:type="dxa"/>
                  <w:gridSpan w:val="2"/>
                  <w:vAlign w:val="center"/>
                </w:tcPr>
                <w:p>
                  <w:pPr>
                    <w:snapToGrid w:val="0"/>
                    <w:jc w:val="center"/>
                    <w:rPr>
                      <w:szCs w:val="21"/>
                    </w:rPr>
                  </w:pPr>
                  <w:r>
                    <w:rPr>
                      <w:rFonts w:hint="eastAsia"/>
                      <w:szCs w:val="21"/>
                    </w:rPr>
                    <w:t>绿化</w:t>
                  </w:r>
                </w:p>
              </w:tc>
              <w:tc>
                <w:tcPr>
                  <w:tcW w:w="4822" w:type="dxa"/>
                  <w:vAlign w:val="center"/>
                </w:tcPr>
                <w:p>
                  <w:pPr>
                    <w:snapToGrid w:val="0"/>
                    <w:rPr>
                      <w:szCs w:val="21"/>
                    </w:rPr>
                  </w:pPr>
                  <w:r>
                    <w:rPr>
                      <w:szCs w:val="21"/>
                    </w:rPr>
                    <w:t>绿化面积1290.69m</w:t>
                  </w:r>
                  <w:r>
                    <w:rPr>
                      <w:szCs w:val="21"/>
                      <w:vertAlign w:val="superscript"/>
                    </w:rPr>
                    <w:t>2</w:t>
                  </w:r>
                  <w:r>
                    <w:rPr>
                      <w:szCs w:val="21"/>
                    </w:rPr>
                    <w:t>。</w:t>
                  </w:r>
                </w:p>
              </w:tc>
              <w:tc>
                <w:tcPr>
                  <w:tcW w:w="680" w:type="dxa"/>
                  <w:vAlign w:val="center"/>
                </w:tcPr>
                <w:p>
                  <w:pPr>
                    <w:snapToGrid w:val="0"/>
                    <w:jc w:val="center"/>
                    <w:rPr>
                      <w:szCs w:val="21"/>
                    </w:rPr>
                  </w:pPr>
                  <w:r>
                    <w:rPr>
                      <w:rFonts w:hint="eastAsia"/>
                      <w:szCs w:val="21"/>
                    </w:rPr>
                    <w:t>新建</w:t>
                  </w:r>
                </w:p>
              </w:tc>
            </w:tr>
            <w:bookmarkEnd w:id="2"/>
          </w:tbl>
          <w:p>
            <w:pPr>
              <w:spacing w:line="360" w:lineRule="auto"/>
              <w:ind w:firstLine="482" w:firstLineChars="200"/>
              <w:rPr>
                <w:b/>
                <w:sz w:val="24"/>
              </w:rPr>
            </w:pPr>
            <w:r>
              <w:rPr>
                <w:b/>
                <w:sz w:val="24"/>
              </w:rPr>
              <w:t>1、主要原辅材料消耗</w:t>
            </w:r>
          </w:p>
          <w:p>
            <w:pPr>
              <w:tabs>
                <w:tab w:val="left" w:pos="4680"/>
              </w:tabs>
              <w:spacing w:line="360" w:lineRule="auto"/>
              <w:ind w:firstLine="480" w:firstLineChars="200"/>
              <w:rPr>
                <w:sz w:val="24"/>
              </w:rPr>
            </w:pPr>
            <w:r>
              <w:rPr>
                <w:sz w:val="24"/>
              </w:rPr>
              <w:t>项目主要原辅材料及来源见表2-2。</w:t>
            </w:r>
          </w:p>
          <w:p>
            <w:pPr>
              <w:autoSpaceDE w:val="0"/>
              <w:autoSpaceDN w:val="0"/>
              <w:adjustRightInd w:val="0"/>
              <w:snapToGrid w:val="0"/>
              <w:jc w:val="center"/>
              <w:rPr>
                <w:b/>
                <w:bCs/>
                <w:sz w:val="24"/>
              </w:rPr>
            </w:pPr>
            <w:r>
              <w:rPr>
                <w:b/>
                <w:sz w:val="24"/>
              </w:rPr>
              <w:t xml:space="preserve">表2-2  </w:t>
            </w:r>
            <w:r>
              <w:rPr>
                <w:b/>
                <w:bCs/>
                <w:sz w:val="24"/>
              </w:rPr>
              <w:t>原料及能源消耗表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290"/>
              <w:gridCol w:w="1699"/>
              <w:gridCol w:w="1701"/>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652" w:type="dxa"/>
                  <w:vAlign w:val="center"/>
                </w:tcPr>
                <w:p>
                  <w:pPr>
                    <w:pStyle w:val="50"/>
                    <w:spacing w:before="24" w:after="24"/>
                    <w:rPr>
                      <w:rFonts w:ascii="Times New Roman"/>
                      <w:b/>
                      <w:kern w:val="2"/>
                      <w:szCs w:val="21"/>
                    </w:rPr>
                  </w:pPr>
                  <w:r>
                    <w:rPr>
                      <w:rFonts w:ascii="Times New Roman"/>
                      <w:b/>
                      <w:kern w:val="2"/>
                      <w:szCs w:val="21"/>
                      <w:lang w:val="zh-CN"/>
                    </w:rPr>
                    <w:t>序号</w:t>
                  </w:r>
                </w:p>
              </w:tc>
              <w:tc>
                <w:tcPr>
                  <w:tcW w:w="2290" w:type="dxa"/>
                  <w:vAlign w:val="center"/>
                </w:tcPr>
                <w:p>
                  <w:pPr>
                    <w:pStyle w:val="50"/>
                    <w:spacing w:before="24" w:after="24"/>
                    <w:rPr>
                      <w:rFonts w:ascii="Times New Roman"/>
                      <w:b/>
                      <w:kern w:val="2"/>
                      <w:szCs w:val="21"/>
                    </w:rPr>
                  </w:pPr>
                  <w:r>
                    <w:rPr>
                      <w:rFonts w:ascii="Times New Roman"/>
                      <w:b/>
                      <w:kern w:val="2"/>
                      <w:szCs w:val="21"/>
                      <w:lang w:val="zh-CN"/>
                    </w:rPr>
                    <w:t>名称</w:t>
                  </w:r>
                </w:p>
              </w:tc>
              <w:tc>
                <w:tcPr>
                  <w:tcW w:w="1699" w:type="dxa"/>
                  <w:vAlign w:val="center"/>
                </w:tcPr>
                <w:p>
                  <w:pPr>
                    <w:pStyle w:val="50"/>
                    <w:spacing w:before="24" w:after="24"/>
                    <w:rPr>
                      <w:rFonts w:ascii="Times New Roman"/>
                      <w:b/>
                      <w:kern w:val="2"/>
                      <w:szCs w:val="21"/>
                    </w:rPr>
                  </w:pPr>
                  <w:r>
                    <w:rPr>
                      <w:rFonts w:hint="eastAsia" w:ascii="Times New Roman"/>
                      <w:b/>
                      <w:kern w:val="2"/>
                      <w:szCs w:val="21"/>
                    </w:rPr>
                    <w:t>年用量</w:t>
                  </w:r>
                </w:p>
              </w:tc>
              <w:tc>
                <w:tcPr>
                  <w:tcW w:w="1701" w:type="dxa"/>
                  <w:vAlign w:val="center"/>
                </w:tcPr>
                <w:p>
                  <w:pPr>
                    <w:pStyle w:val="50"/>
                    <w:spacing w:before="24" w:after="24"/>
                    <w:rPr>
                      <w:rFonts w:ascii="Times New Roman"/>
                      <w:b/>
                      <w:kern w:val="2"/>
                      <w:szCs w:val="21"/>
                    </w:rPr>
                  </w:pPr>
                  <w:r>
                    <w:rPr>
                      <w:rFonts w:ascii="Times New Roman"/>
                      <w:b/>
                      <w:kern w:val="2"/>
                      <w:szCs w:val="21"/>
                      <w:lang w:val="zh-CN"/>
                    </w:rPr>
                    <w:t>来源</w:t>
                  </w:r>
                </w:p>
              </w:tc>
              <w:tc>
                <w:tcPr>
                  <w:tcW w:w="2033" w:type="dxa"/>
                  <w:vAlign w:val="center"/>
                </w:tcPr>
                <w:p>
                  <w:pPr>
                    <w:pStyle w:val="50"/>
                    <w:spacing w:before="24" w:after="24"/>
                    <w:rPr>
                      <w:rFonts w:ascii="Times New Roman"/>
                      <w:b/>
                      <w:kern w:val="2"/>
                      <w:szCs w:val="21"/>
                    </w:rPr>
                  </w:pPr>
                  <w:r>
                    <w:rPr>
                      <w:rFonts w:hint="eastAsia" w:ascii="Times New Roman"/>
                      <w:b/>
                      <w:kern w:val="2"/>
                      <w:szCs w:val="21"/>
                    </w:rPr>
                    <w:t xml:space="preserve">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w:t>
                  </w:r>
                </w:p>
              </w:tc>
              <w:tc>
                <w:tcPr>
                  <w:tcW w:w="2290" w:type="dxa"/>
                  <w:vAlign w:val="center"/>
                </w:tcPr>
                <w:p>
                  <w:pPr>
                    <w:pStyle w:val="50"/>
                    <w:spacing w:before="24" w:after="24"/>
                    <w:rPr>
                      <w:rFonts w:ascii="Times New Roman"/>
                      <w:kern w:val="2"/>
                      <w:szCs w:val="21"/>
                    </w:rPr>
                  </w:pPr>
                  <w:r>
                    <w:rPr>
                      <w:rFonts w:hint="eastAsia" w:ascii="Times New Roman"/>
                      <w:kern w:val="2"/>
                      <w:szCs w:val="21"/>
                    </w:rPr>
                    <w:t xml:space="preserve">一次性空针、输液管 </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restart"/>
                  <w:vAlign w:val="center"/>
                </w:tcPr>
                <w:p>
                  <w:pPr>
                    <w:pStyle w:val="50"/>
                    <w:spacing w:before="24" w:after="24"/>
                    <w:rPr>
                      <w:rFonts w:ascii="Times New Roman"/>
                      <w:kern w:val="2"/>
                      <w:szCs w:val="21"/>
                    </w:rPr>
                  </w:pPr>
                  <w:r>
                    <w:rPr>
                      <w:rFonts w:hint="eastAsia" w:ascii="Times New Roman"/>
                      <w:kern w:val="2"/>
                      <w:szCs w:val="21"/>
                    </w:rPr>
                    <w:t>外购</w:t>
                  </w:r>
                </w:p>
              </w:tc>
              <w:tc>
                <w:tcPr>
                  <w:tcW w:w="2033" w:type="dxa"/>
                  <w:vMerge w:val="restart"/>
                  <w:vAlign w:val="center"/>
                </w:tcPr>
                <w:p>
                  <w:pPr>
                    <w:pStyle w:val="50"/>
                    <w:spacing w:before="24" w:after="24"/>
                    <w:rPr>
                      <w:rFonts w:ascii="Times New Roman"/>
                      <w:kern w:val="2"/>
                      <w:szCs w:val="21"/>
                    </w:rPr>
                  </w:pPr>
                  <w:r>
                    <w:rPr>
                      <w:rFonts w:hint="eastAsia" w:ascii="Times New Roman"/>
                      <w:kern w:val="2"/>
                      <w:szCs w:val="21"/>
                    </w:rPr>
                    <w:t>库房存储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2</w:t>
                  </w:r>
                </w:p>
              </w:tc>
              <w:tc>
                <w:tcPr>
                  <w:tcW w:w="2290" w:type="dxa"/>
                  <w:vAlign w:val="center"/>
                </w:tcPr>
                <w:p>
                  <w:pPr>
                    <w:pStyle w:val="50"/>
                    <w:spacing w:before="24" w:after="24"/>
                    <w:rPr>
                      <w:rFonts w:ascii="Times New Roman"/>
                      <w:kern w:val="2"/>
                      <w:szCs w:val="21"/>
                    </w:rPr>
                  </w:pPr>
                  <w:r>
                    <w:rPr>
                      <w:rFonts w:hint="eastAsia" w:ascii="Times New Roman"/>
                      <w:kern w:val="2"/>
                      <w:szCs w:val="21"/>
                    </w:rPr>
                    <w:t xml:space="preserve">一次性床单 </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3</w:t>
                  </w:r>
                </w:p>
              </w:tc>
              <w:tc>
                <w:tcPr>
                  <w:tcW w:w="2290" w:type="dxa"/>
                  <w:vAlign w:val="center"/>
                </w:tcPr>
                <w:p>
                  <w:pPr>
                    <w:pStyle w:val="50"/>
                    <w:spacing w:before="24" w:after="24"/>
                    <w:rPr>
                      <w:rFonts w:ascii="Times New Roman"/>
                      <w:kern w:val="2"/>
                      <w:szCs w:val="21"/>
                    </w:rPr>
                  </w:pPr>
                  <w:r>
                    <w:rPr>
                      <w:rFonts w:hint="eastAsia" w:ascii="Times New Roman"/>
                      <w:kern w:val="2"/>
                      <w:szCs w:val="21"/>
                    </w:rPr>
                    <w:t xml:space="preserve">一次性手套 </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4</w:t>
                  </w:r>
                </w:p>
              </w:tc>
              <w:tc>
                <w:tcPr>
                  <w:tcW w:w="2290" w:type="dxa"/>
                  <w:vAlign w:val="center"/>
                </w:tcPr>
                <w:p>
                  <w:pPr>
                    <w:pStyle w:val="50"/>
                    <w:spacing w:before="24" w:after="24"/>
                    <w:rPr>
                      <w:rFonts w:ascii="Times New Roman"/>
                      <w:kern w:val="2"/>
                      <w:szCs w:val="21"/>
                    </w:rPr>
                  </w:pPr>
                  <w:r>
                    <w:rPr>
                      <w:rFonts w:hint="eastAsia" w:ascii="Times New Roman"/>
                      <w:kern w:val="2"/>
                      <w:szCs w:val="21"/>
                    </w:rPr>
                    <w:t>医用棉签</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5</w:t>
                  </w:r>
                </w:p>
              </w:tc>
              <w:tc>
                <w:tcPr>
                  <w:tcW w:w="2290" w:type="dxa"/>
                  <w:vAlign w:val="center"/>
                </w:tcPr>
                <w:p>
                  <w:pPr>
                    <w:pStyle w:val="50"/>
                    <w:spacing w:before="24" w:after="24"/>
                    <w:rPr>
                      <w:rFonts w:ascii="Times New Roman"/>
                      <w:kern w:val="2"/>
                      <w:szCs w:val="21"/>
                    </w:rPr>
                  </w:pPr>
                  <w:r>
                    <w:rPr>
                      <w:rFonts w:hint="eastAsia" w:ascii="Times New Roman"/>
                      <w:kern w:val="2"/>
                      <w:szCs w:val="21"/>
                    </w:rPr>
                    <w:t>纱布</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6</w:t>
                  </w:r>
                </w:p>
              </w:tc>
              <w:tc>
                <w:tcPr>
                  <w:tcW w:w="2290" w:type="dxa"/>
                  <w:vAlign w:val="center"/>
                </w:tcPr>
                <w:p>
                  <w:pPr>
                    <w:pStyle w:val="50"/>
                    <w:spacing w:before="24" w:after="24"/>
                    <w:rPr>
                      <w:rFonts w:ascii="Times New Roman"/>
                      <w:kern w:val="2"/>
                      <w:szCs w:val="21"/>
                    </w:rPr>
                  </w:pPr>
                  <w:r>
                    <w:rPr>
                      <w:rFonts w:hint="eastAsia" w:ascii="Times New Roman"/>
                      <w:kern w:val="2"/>
                      <w:szCs w:val="21"/>
                    </w:rPr>
                    <w:t>西药</w:t>
                  </w:r>
                </w:p>
              </w:tc>
              <w:tc>
                <w:tcPr>
                  <w:tcW w:w="1699" w:type="dxa"/>
                  <w:vAlign w:val="center"/>
                </w:tcPr>
                <w:p>
                  <w:pPr>
                    <w:pStyle w:val="50"/>
                    <w:spacing w:before="24" w:after="24"/>
                    <w:rPr>
                      <w:rFonts w:ascii="Times New Roman"/>
                      <w:kern w:val="2"/>
                      <w:szCs w:val="21"/>
                    </w:rPr>
                  </w:pPr>
                  <w:r>
                    <w:rPr>
                      <w:rFonts w:hint="eastAsia" w:ascii="Times New Roman"/>
                      <w:kern w:val="2"/>
                      <w:szCs w:val="21"/>
                    </w:rPr>
                    <w:t>若</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7</w:t>
                  </w:r>
                </w:p>
              </w:tc>
              <w:tc>
                <w:tcPr>
                  <w:tcW w:w="2290" w:type="dxa"/>
                  <w:vAlign w:val="center"/>
                </w:tcPr>
                <w:p>
                  <w:pPr>
                    <w:pStyle w:val="50"/>
                    <w:spacing w:before="24" w:after="24"/>
                    <w:rPr>
                      <w:rFonts w:ascii="Times New Roman"/>
                      <w:kern w:val="2"/>
                      <w:szCs w:val="21"/>
                    </w:rPr>
                  </w:pPr>
                  <w:r>
                    <w:rPr>
                      <w:rFonts w:hint="eastAsia" w:ascii="Times New Roman"/>
                      <w:kern w:val="2"/>
                      <w:szCs w:val="21"/>
                    </w:rPr>
                    <w:t>中药</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8</w:t>
                  </w:r>
                </w:p>
              </w:tc>
              <w:tc>
                <w:tcPr>
                  <w:tcW w:w="2290" w:type="dxa"/>
                  <w:vAlign w:val="center"/>
                </w:tcPr>
                <w:p>
                  <w:pPr>
                    <w:pStyle w:val="50"/>
                    <w:spacing w:before="24" w:after="24"/>
                    <w:rPr>
                      <w:rFonts w:ascii="Times New Roman"/>
                      <w:kern w:val="2"/>
                      <w:szCs w:val="21"/>
                    </w:rPr>
                  </w:pPr>
                  <w:r>
                    <w:rPr>
                      <w:rFonts w:hint="eastAsia" w:ascii="Times New Roman"/>
                      <w:kern w:val="2"/>
                      <w:szCs w:val="21"/>
                    </w:rPr>
                    <w:t>尿液检测试剂盒</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Align w:val="center"/>
                </w:tcPr>
                <w:p>
                  <w:pPr>
                    <w:pStyle w:val="50"/>
                    <w:spacing w:before="24" w:after="24"/>
                    <w:rPr>
                      <w:rFonts w:ascii="Times New Roman"/>
                      <w:kern w:val="2"/>
                      <w:szCs w:val="21"/>
                    </w:rPr>
                  </w:pPr>
                  <w:r>
                    <w:rPr>
                      <w:rFonts w:hint="eastAsia" w:ascii="Times New Roman"/>
                      <w:kern w:val="2"/>
                      <w:szCs w:val="21"/>
                    </w:rPr>
                    <w:t>冰箱冷藏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9</w:t>
                  </w:r>
                </w:p>
              </w:tc>
              <w:tc>
                <w:tcPr>
                  <w:tcW w:w="2290" w:type="dxa"/>
                  <w:vAlign w:val="center"/>
                </w:tcPr>
                <w:p>
                  <w:pPr>
                    <w:pStyle w:val="50"/>
                    <w:spacing w:before="24" w:after="24"/>
                    <w:rPr>
                      <w:rFonts w:ascii="Times New Roman"/>
                      <w:kern w:val="2"/>
                      <w:szCs w:val="21"/>
                    </w:rPr>
                  </w:pPr>
                  <w:r>
                    <w:rPr>
                      <w:rFonts w:hint="eastAsia" w:ascii="Times New Roman"/>
                      <w:kern w:val="2"/>
                      <w:szCs w:val="21"/>
                    </w:rPr>
                    <w:t>血糖检测试剂盒</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restart"/>
                  <w:vAlign w:val="center"/>
                </w:tcPr>
                <w:p>
                  <w:pPr>
                    <w:pStyle w:val="50"/>
                    <w:spacing w:before="24" w:after="24"/>
                    <w:rPr>
                      <w:rFonts w:ascii="Times New Roman"/>
                      <w:kern w:val="2"/>
                      <w:szCs w:val="21"/>
                    </w:rPr>
                  </w:pPr>
                  <w:r>
                    <w:rPr>
                      <w:rFonts w:hint="eastAsia" w:ascii="Times New Roman"/>
                      <w:kern w:val="2"/>
                      <w:szCs w:val="21"/>
                    </w:rPr>
                    <w:t>500ml</w:t>
                  </w:r>
                  <w:r>
                    <w:rPr>
                      <w:rFonts w:ascii="Times New Roman"/>
                      <w:kern w:val="2"/>
                      <w:szCs w:val="21"/>
                    </w:rPr>
                    <w:t>/</w:t>
                  </w:r>
                  <w:r>
                    <w:rPr>
                      <w:rFonts w:hint="eastAsia" w:ascii="Times New Roman"/>
                      <w:kern w:val="2"/>
                      <w:szCs w:val="21"/>
                    </w:rPr>
                    <w:t>瓶，库房存储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10</w:t>
                  </w:r>
                </w:p>
              </w:tc>
              <w:tc>
                <w:tcPr>
                  <w:tcW w:w="2290" w:type="dxa"/>
                  <w:vAlign w:val="center"/>
                </w:tcPr>
                <w:p>
                  <w:pPr>
                    <w:pStyle w:val="50"/>
                    <w:spacing w:before="24" w:after="24"/>
                    <w:rPr>
                      <w:rFonts w:ascii="Times New Roman"/>
                      <w:kern w:val="2"/>
                      <w:szCs w:val="21"/>
                    </w:rPr>
                  </w:pPr>
                  <w:r>
                    <w:rPr>
                      <w:rFonts w:hint="eastAsia" w:ascii="Times New Roman"/>
                      <w:kern w:val="2"/>
                      <w:szCs w:val="21"/>
                    </w:rPr>
                    <w:t>血液检测试剂盒</w:t>
                  </w:r>
                </w:p>
              </w:tc>
              <w:tc>
                <w:tcPr>
                  <w:tcW w:w="1699" w:type="dxa"/>
                  <w:vAlign w:val="center"/>
                </w:tcPr>
                <w:p>
                  <w:pPr>
                    <w:pStyle w:val="50"/>
                    <w:spacing w:before="24" w:after="24"/>
                    <w:rPr>
                      <w:rFonts w:ascii="Times New Roman"/>
                      <w:kern w:val="2"/>
                      <w:szCs w:val="21"/>
                    </w:rPr>
                  </w:pPr>
                  <w:r>
                    <w:rPr>
                      <w:rFonts w:hint="eastAsia" w:ascii="Times New Roman"/>
                      <w:kern w:val="2"/>
                      <w:szCs w:val="21"/>
                    </w:rPr>
                    <w:t>若干</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11</w:t>
                  </w:r>
                </w:p>
              </w:tc>
              <w:tc>
                <w:tcPr>
                  <w:tcW w:w="2290" w:type="dxa"/>
                  <w:vAlign w:val="center"/>
                </w:tcPr>
                <w:p>
                  <w:pPr>
                    <w:widowControl/>
                    <w:jc w:val="center"/>
                    <w:textAlignment w:val="center"/>
                    <w:rPr>
                      <w:kern w:val="0"/>
                      <w:szCs w:val="21"/>
                      <w:lang w:bidi="ar"/>
                    </w:rPr>
                  </w:pPr>
                  <w:r>
                    <w:rPr>
                      <w:rFonts w:hint="eastAsia"/>
                      <w:kern w:val="0"/>
                      <w:szCs w:val="21"/>
                      <w:lang w:bidi="ar"/>
                    </w:rPr>
                    <w:t>75</w:t>
                  </w:r>
                  <w:r>
                    <w:rPr>
                      <w:kern w:val="0"/>
                      <w:szCs w:val="21"/>
                      <w:lang w:bidi="ar"/>
                    </w:rPr>
                    <w:t>%</w:t>
                  </w:r>
                  <w:r>
                    <w:rPr>
                      <w:rFonts w:hint="eastAsia"/>
                      <w:kern w:val="0"/>
                      <w:szCs w:val="21"/>
                      <w:lang w:bidi="ar"/>
                    </w:rPr>
                    <w:t>医用酒精</w:t>
                  </w:r>
                </w:p>
              </w:tc>
              <w:tc>
                <w:tcPr>
                  <w:tcW w:w="1699" w:type="dxa"/>
                  <w:vAlign w:val="center"/>
                </w:tcPr>
                <w:p>
                  <w:pPr>
                    <w:pStyle w:val="50"/>
                    <w:spacing w:before="24" w:after="24"/>
                    <w:rPr>
                      <w:rFonts w:ascii="Times New Roman"/>
                      <w:kern w:val="2"/>
                      <w:szCs w:val="21"/>
                    </w:rPr>
                  </w:pPr>
                  <w:r>
                    <w:rPr>
                      <w:rFonts w:hint="eastAsia" w:ascii="Times New Roman"/>
                      <w:kern w:val="2"/>
                      <w:szCs w:val="21"/>
                    </w:rPr>
                    <w:t>10</w:t>
                  </w:r>
                  <w:r>
                    <w:rPr>
                      <w:rFonts w:ascii="Times New Roman"/>
                      <w:kern w:val="2"/>
                      <w:szCs w:val="21"/>
                    </w:rPr>
                    <w:t>00</w:t>
                  </w:r>
                  <w:r>
                    <w:rPr>
                      <w:rFonts w:hint="eastAsia" w:ascii="Times New Roman"/>
                      <w:kern w:val="2"/>
                      <w:szCs w:val="21"/>
                    </w:rPr>
                    <w:t>瓶</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pStyle w:val="50"/>
                    <w:spacing w:before="24" w:after="24"/>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12</w:t>
                  </w:r>
                </w:p>
              </w:tc>
              <w:tc>
                <w:tcPr>
                  <w:tcW w:w="2290" w:type="dxa"/>
                  <w:vAlign w:val="center"/>
                </w:tcPr>
                <w:p>
                  <w:pPr>
                    <w:widowControl/>
                    <w:jc w:val="center"/>
                    <w:textAlignment w:val="center"/>
                    <w:rPr>
                      <w:kern w:val="0"/>
                      <w:szCs w:val="21"/>
                      <w:lang w:bidi="ar"/>
                    </w:rPr>
                  </w:pPr>
                  <w:r>
                    <w:rPr>
                      <w:kern w:val="0"/>
                      <w:szCs w:val="21"/>
                      <w:lang w:bidi="ar"/>
                    </w:rPr>
                    <w:t>0.9%氯化钠注射液</w:t>
                  </w:r>
                </w:p>
              </w:tc>
              <w:tc>
                <w:tcPr>
                  <w:tcW w:w="1699" w:type="dxa"/>
                  <w:vAlign w:val="center"/>
                </w:tcPr>
                <w:p>
                  <w:pPr>
                    <w:pStyle w:val="50"/>
                    <w:spacing w:before="24" w:after="24"/>
                    <w:rPr>
                      <w:rFonts w:ascii="Times New Roman"/>
                      <w:kern w:val="2"/>
                      <w:szCs w:val="21"/>
                    </w:rPr>
                  </w:pPr>
                  <w:r>
                    <w:rPr>
                      <w:rFonts w:hint="eastAsia" w:ascii="Times New Roman"/>
                      <w:kern w:val="2"/>
                      <w:szCs w:val="21"/>
                    </w:rPr>
                    <w:t>10</w:t>
                  </w:r>
                  <w:r>
                    <w:rPr>
                      <w:rFonts w:ascii="Times New Roman"/>
                      <w:kern w:val="2"/>
                      <w:szCs w:val="21"/>
                    </w:rPr>
                    <w:t>00</w:t>
                  </w:r>
                  <w:r>
                    <w:rPr>
                      <w:rFonts w:hint="eastAsia" w:ascii="Times New Roman"/>
                      <w:kern w:val="2"/>
                      <w:szCs w:val="21"/>
                    </w:rPr>
                    <w:t>瓶</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spacing w:before="24" w:after="24"/>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13</w:t>
                  </w:r>
                </w:p>
              </w:tc>
              <w:tc>
                <w:tcPr>
                  <w:tcW w:w="2290" w:type="dxa"/>
                  <w:vAlign w:val="center"/>
                </w:tcPr>
                <w:p>
                  <w:pPr>
                    <w:widowControl/>
                    <w:jc w:val="center"/>
                    <w:textAlignment w:val="center"/>
                    <w:rPr>
                      <w:kern w:val="0"/>
                      <w:szCs w:val="21"/>
                      <w:lang w:bidi="ar"/>
                    </w:rPr>
                  </w:pPr>
                  <w:r>
                    <w:rPr>
                      <w:kern w:val="0"/>
                      <w:szCs w:val="21"/>
                      <w:lang w:bidi="ar"/>
                    </w:rPr>
                    <w:t>5%葡萄糖注射液</w:t>
                  </w:r>
                </w:p>
              </w:tc>
              <w:tc>
                <w:tcPr>
                  <w:tcW w:w="1699" w:type="dxa"/>
                  <w:vAlign w:val="center"/>
                </w:tcPr>
                <w:p>
                  <w:pPr>
                    <w:pStyle w:val="50"/>
                    <w:spacing w:before="24" w:after="24"/>
                    <w:rPr>
                      <w:rFonts w:ascii="Times New Roman"/>
                      <w:kern w:val="2"/>
                      <w:szCs w:val="21"/>
                    </w:rPr>
                  </w:pPr>
                  <w:r>
                    <w:rPr>
                      <w:rFonts w:ascii="Times New Roman"/>
                      <w:kern w:val="2"/>
                      <w:szCs w:val="21"/>
                    </w:rPr>
                    <w:t>1000</w:t>
                  </w:r>
                  <w:r>
                    <w:rPr>
                      <w:rFonts w:hint="eastAsia" w:ascii="Times New Roman"/>
                      <w:kern w:val="2"/>
                      <w:szCs w:val="21"/>
                    </w:rPr>
                    <w:t xml:space="preserve">瓶 </w:t>
                  </w:r>
                </w:p>
              </w:tc>
              <w:tc>
                <w:tcPr>
                  <w:tcW w:w="1701" w:type="dxa"/>
                  <w:vMerge w:val="continue"/>
                  <w:vAlign w:val="center"/>
                </w:tcPr>
                <w:p>
                  <w:pPr>
                    <w:pStyle w:val="50"/>
                    <w:spacing w:before="24" w:after="24"/>
                    <w:rPr>
                      <w:rFonts w:ascii="Times New Roman"/>
                      <w:kern w:val="2"/>
                      <w:szCs w:val="21"/>
                    </w:rPr>
                  </w:pPr>
                </w:p>
              </w:tc>
              <w:tc>
                <w:tcPr>
                  <w:tcW w:w="2033" w:type="dxa"/>
                  <w:vMerge w:val="continue"/>
                  <w:vAlign w:val="center"/>
                </w:tcPr>
                <w:p>
                  <w:pPr>
                    <w:spacing w:before="24" w:after="24"/>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14</w:t>
                  </w:r>
                </w:p>
              </w:tc>
              <w:tc>
                <w:tcPr>
                  <w:tcW w:w="2290" w:type="dxa"/>
                  <w:vAlign w:val="center"/>
                </w:tcPr>
                <w:p>
                  <w:pPr>
                    <w:pStyle w:val="50"/>
                    <w:spacing w:before="24" w:after="24"/>
                    <w:rPr>
                      <w:rFonts w:ascii="Times New Roman"/>
                      <w:kern w:val="2"/>
                      <w:szCs w:val="21"/>
                    </w:rPr>
                  </w:pPr>
                  <w:r>
                    <w:rPr>
                      <w:rFonts w:hint="eastAsia" w:ascii="Times New Roman"/>
                      <w:szCs w:val="21"/>
                      <w:lang w:bidi="ar"/>
                    </w:rPr>
                    <w:t>聚合氯化铝（PAC）</w:t>
                  </w:r>
                </w:p>
              </w:tc>
              <w:tc>
                <w:tcPr>
                  <w:tcW w:w="1699" w:type="dxa"/>
                  <w:vAlign w:val="center"/>
                </w:tcPr>
                <w:p>
                  <w:pPr>
                    <w:pStyle w:val="50"/>
                    <w:spacing w:before="24" w:after="24"/>
                    <w:rPr>
                      <w:rFonts w:ascii="Times New Roman"/>
                      <w:kern w:val="2"/>
                      <w:szCs w:val="21"/>
                    </w:rPr>
                  </w:pPr>
                  <w:r>
                    <w:rPr>
                      <w:rFonts w:ascii="Times New Roman"/>
                      <w:kern w:val="2"/>
                      <w:szCs w:val="21"/>
                    </w:rPr>
                    <w:t>50</w:t>
                  </w:r>
                  <w:r>
                    <w:rPr>
                      <w:rFonts w:hint="eastAsia" w:ascii="Times New Roman"/>
                      <w:kern w:val="2"/>
                      <w:szCs w:val="21"/>
                    </w:rPr>
                    <w:t>kg</w:t>
                  </w:r>
                </w:p>
              </w:tc>
              <w:tc>
                <w:tcPr>
                  <w:tcW w:w="1701" w:type="dxa"/>
                  <w:vMerge w:val="continue"/>
                  <w:vAlign w:val="center"/>
                </w:tcPr>
                <w:p>
                  <w:pPr>
                    <w:pStyle w:val="50"/>
                    <w:spacing w:before="24" w:after="24"/>
                    <w:rPr>
                      <w:rFonts w:ascii="Times New Roman"/>
                      <w:kern w:val="2"/>
                      <w:szCs w:val="21"/>
                    </w:rPr>
                  </w:pPr>
                </w:p>
              </w:tc>
              <w:tc>
                <w:tcPr>
                  <w:tcW w:w="2033" w:type="dxa"/>
                  <w:vAlign w:val="center"/>
                </w:tcPr>
                <w:p>
                  <w:pPr>
                    <w:spacing w:before="24" w:after="24"/>
                    <w:jc w:val="center"/>
                    <w:rPr>
                      <w:szCs w:val="21"/>
                    </w:rPr>
                  </w:pPr>
                  <w:r>
                    <w:rPr>
                      <w:rFonts w:hint="eastAsia"/>
                      <w:kern w:val="0"/>
                      <w:szCs w:val="21"/>
                      <w:lang w:bidi="ar"/>
                    </w:rPr>
                    <w:t>混凝沉淀添加剂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w:t>
                  </w:r>
                  <w:r>
                    <w:rPr>
                      <w:rFonts w:ascii="Times New Roman"/>
                      <w:kern w:val="2"/>
                      <w:szCs w:val="21"/>
                    </w:rPr>
                    <w:t>5</w:t>
                  </w:r>
                </w:p>
              </w:tc>
              <w:tc>
                <w:tcPr>
                  <w:tcW w:w="2290" w:type="dxa"/>
                  <w:vAlign w:val="center"/>
                </w:tcPr>
                <w:p>
                  <w:pPr>
                    <w:pStyle w:val="50"/>
                    <w:spacing w:before="24" w:after="24"/>
                    <w:rPr>
                      <w:rFonts w:ascii="Times New Roman"/>
                      <w:szCs w:val="21"/>
                      <w:lang w:bidi="ar"/>
                    </w:rPr>
                  </w:pPr>
                  <w:r>
                    <w:rPr>
                      <w:rFonts w:hint="eastAsia" w:ascii="Times New Roman"/>
                      <w:szCs w:val="21"/>
                      <w:lang w:bidi="ar"/>
                    </w:rPr>
                    <w:t>次氯酸钠</w:t>
                  </w:r>
                </w:p>
              </w:tc>
              <w:tc>
                <w:tcPr>
                  <w:tcW w:w="1699" w:type="dxa"/>
                  <w:vAlign w:val="center"/>
                </w:tcPr>
                <w:p>
                  <w:pPr>
                    <w:pStyle w:val="50"/>
                    <w:spacing w:before="24" w:after="24"/>
                    <w:rPr>
                      <w:rFonts w:ascii="Times New Roman"/>
                      <w:kern w:val="2"/>
                      <w:szCs w:val="21"/>
                    </w:rPr>
                  </w:pPr>
                  <w:r>
                    <w:rPr>
                      <w:rFonts w:ascii="Times New Roman"/>
                      <w:kern w:val="2"/>
                      <w:szCs w:val="21"/>
                    </w:rPr>
                    <w:t>600kg/a</w:t>
                  </w:r>
                </w:p>
              </w:tc>
              <w:tc>
                <w:tcPr>
                  <w:tcW w:w="1701" w:type="dxa"/>
                  <w:vMerge w:val="continue"/>
                  <w:vAlign w:val="center"/>
                </w:tcPr>
                <w:p>
                  <w:pPr>
                    <w:pStyle w:val="50"/>
                    <w:spacing w:before="24" w:after="24"/>
                    <w:rPr>
                      <w:rFonts w:ascii="Times New Roman"/>
                      <w:kern w:val="2"/>
                      <w:szCs w:val="21"/>
                    </w:rPr>
                  </w:pPr>
                </w:p>
              </w:tc>
              <w:tc>
                <w:tcPr>
                  <w:tcW w:w="2033" w:type="dxa"/>
                  <w:vAlign w:val="center"/>
                </w:tcPr>
                <w:p>
                  <w:pPr>
                    <w:spacing w:before="24" w:after="24"/>
                    <w:jc w:val="center"/>
                    <w:rPr>
                      <w:kern w:val="0"/>
                      <w:szCs w:val="21"/>
                      <w:lang w:bidi="ar"/>
                    </w:rPr>
                  </w:pPr>
                  <w:r>
                    <w:rPr>
                      <w:rFonts w:hint="eastAsia"/>
                      <w:kern w:val="0"/>
                      <w:szCs w:val="21"/>
                      <w:lang w:bidi="ar"/>
                    </w:rPr>
                    <w:t>污水消毒剂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hint="eastAsia" w:ascii="Times New Roman"/>
                      <w:kern w:val="2"/>
                      <w:szCs w:val="21"/>
                    </w:rPr>
                    <w:t>1</w:t>
                  </w:r>
                  <w:r>
                    <w:rPr>
                      <w:rFonts w:ascii="Times New Roman"/>
                      <w:kern w:val="2"/>
                      <w:szCs w:val="21"/>
                    </w:rPr>
                    <w:t>6</w:t>
                  </w:r>
                </w:p>
              </w:tc>
              <w:tc>
                <w:tcPr>
                  <w:tcW w:w="2290" w:type="dxa"/>
                  <w:vAlign w:val="center"/>
                </w:tcPr>
                <w:p>
                  <w:pPr>
                    <w:pStyle w:val="50"/>
                    <w:spacing w:before="24" w:after="24"/>
                    <w:rPr>
                      <w:rFonts w:ascii="Times New Roman"/>
                      <w:szCs w:val="21"/>
                      <w:lang w:bidi="ar"/>
                    </w:rPr>
                  </w:pPr>
                  <w:r>
                    <w:rPr>
                      <w:rFonts w:hint="eastAsia" w:ascii="Times New Roman"/>
                      <w:szCs w:val="21"/>
                      <w:lang w:bidi="ar"/>
                    </w:rPr>
                    <w:t>轻质柴油</w:t>
                  </w:r>
                </w:p>
              </w:tc>
              <w:tc>
                <w:tcPr>
                  <w:tcW w:w="1699" w:type="dxa"/>
                  <w:vAlign w:val="center"/>
                </w:tcPr>
                <w:p>
                  <w:pPr>
                    <w:pStyle w:val="50"/>
                    <w:spacing w:before="24" w:after="24"/>
                    <w:rPr>
                      <w:rFonts w:ascii="Times New Roman"/>
                      <w:kern w:val="2"/>
                      <w:szCs w:val="21"/>
                    </w:rPr>
                  </w:pPr>
                  <w:r>
                    <w:rPr>
                      <w:rFonts w:hint="eastAsia" w:ascii="Times New Roman"/>
                      <w:kern w:val="2"/>
                      <w:szCs w:val="21"/>
                    </w:rPr>
                    <w:t>5</w:t>
                  </w:r>
                  <w:r>
                    <w:rPr>
                      <w:rFonts w:ascii="Times New Roman"/>
                      <w:kern w:val="2"/>
                      <w:szCs w:val="21"/>
                    </w:rPr>
                    <w:t>t/a</w:t>
                  </w:r>
                </w:p>
              </w:tc>
              <w:tc>
                <w:tcPr>
                  <w:tcW w:w="1701" w:type="dxa"/>
                  <w:vMerge w:val="continue"/>
                  <w:vAlign w:val="center"/>
                </w:tcPr>
                <w:p>
                  <w:pPr>
                    <w:pStyle w:val="50"/>
                    <w:spacing w:before="24" w:after="24"/>
                    <w:rPr>
                      <w:rFonts w:ascii="Times New Roman"/>
                      <w:kern w:val="2"/>
                      <w:szCs w:val="21"/>
                    </w:rPr>
                  </w:pPr>
                </w:p>
              </w:tc>
              <w:tc>
                <w:tcPr>
                  <w:tcW w:w="2033" w:type="dxa"/>
                  <w:vAlign w:val="center"/>
                </w:tcPr>
                <w:p>
                  <w:pPr>
                    <w:spacing w:before="24" w:after="24"/>
                    <w:jc w:val="center"/>
                    <w:rPr>
                      <w:kern w:val="0"/>
                      <w:szCs w:val="21"/>
                      <w:lang w:bidi="ar"/>
                    </w:rPr>
                  </w:pPr>
                  <w:r>
                    <w:rPr>
                      <w:rFonts w:hint="eastAsia"/>
                      <w:szCs w:val="21"/>
                    </w:rPr>
                    <w:t>桶装，停电应急时利用，最大存储量1m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ascii="Times New Roman"/>
                      <w:kern w:val="2"/>
                      <w:szCs w:val="21"/>
                    </w:rPr>
                    <w:t>17</w:t>
                  </w:r>
                </w:p>
              </w:tc>
              <w:tc>
                <w:tcPr>
                  <w:tcW w:w="2290" w:type="dxa"/>
                  <w:vAlign w:val="center"/>
                </w:tcPr>
                <w:p>
                  <w:pPr>
                    <w:pStyle w:val="50"/>
                    <w:spacing w:before="24" w:after="24"/>
                    <w:rPr>
                      <w:rFonts w:ascii="Times New Roman"/>
                      <w:kern w:val="2"/>
                      <w:szCs w:val="21"/>
                    </w:rPr>
                  </w:pPr>
                  <w:r>
                    <w:rPr>
                      <w:rFonts w:hint="eastAsia" w:ascii="Times New Roman"/>
                      <w:kern w:val="2"/>
                      <w:szCs w:val="21"/>
                    </w:rPr>
                    <w:t>天然气</w:t>
                  </w:r>
                </w:p>
              </w:tc>
              <w:tc>
                <w:tcPr>
                  <w:tcW w:w="1699" w:type="dxa"/>
                  <w:vAlign w:val="center"/>
                </w:tcPr>
                <w:p>
                  <w:pPr>
                    <w:pStyle w:val="50"/>
                    <w:spacing w:before="24" w:after="24"/>
                    <w:rPr>
                      <w:rFonts w:ascii="Times New Roman"/>
                      <w:kern w:val="2"/>
                      <w:szCs w:val="21"/>
                    </w:rPr>
                  </w:pPr>
                  <w:r>
                    <w:rPr>
                      <w:rFonts w:ascii="Times New Roman"/>
                      <w:kern w:val="2"/>
                      <w:szCs w:val="21"/>
                    </w:rPr>
                    <w:t>18</w:t>
                  </w:r>
                  <w:r>
                    <w:rPr>
                      <w:rFonts w:hint="eastAsia" w:ascii="Times New Roman"/>
                      <w:kern w:val="2"/>
                      <w:szCs w:val="21"/>
                    </w:rPr>
                    <w:t>万m</w:t>
                  </w:r>
                  <w:r>
                    <w:rPr>
                      <w:rFonts w:ascii="Times New Roman"/>
                      <w:kern w:val="2"/>
                      <w:szCs w:val="21"/>
                      <w:vertAlign w:val="superscript"/>
                    </w:rPr>
                    <w:t>3</w:t>
                  </w:r>
                  <w:r>
                    <w:rPr>
                      <w:rFonts w:ascii="Times New Roman"/>
                      <w:kern w:val="2"/>
                      <w:szCs w:val="21"/>
                    </w:rPr>
                    <w:t>/a</w:t>
                  </w:r>
                </w:p>
              </w:tc>
              <w:tc>
                <w:tcPr>
                  <w:tcW w:w="1701" w:type="dxa"/>
                  <w:vAlign w:val="center"/>
                </w:tcPr>
                <w:p>
                  <w:pPr>
                    <w:pStyle w:val="50"/>
                    <w:spacing w:before="24" w:after="24"/>
                    <w:rPr>
                      <w:rFonts w:ascii="Times New Roman"/>
                      <w:kern w:val="2"/>
                      <w:szCs w:val="21"/>
                    </w:rPr>
                  </w:pPr>
                  <w:r>
                    <w:rPr>
                      <w:rFonts w:hint="eastAsia" w:ascii="Times New Roman"/>
                      <w:kern w:val="2"/>
                      <w:szCs w:val="21"/>
                    </w:rPr>
                    <w:t>市政燃气管网</w:t>
                  </w:r>
                </w:p>
              </w:tc>
              <w:tc>
                <w:tcPr>
                  <w:tcW w:w="2033" w:type="dxa"/>
                  <w:vAlign w:val="center"/>
                </w:tcPr>
                <w:p>
                  <w:pPr>
                    <w:pStyle w:val="50"/>
                    <w:spacing w:before="24" w:after="24"/>
                    <w:rPr>
                      <w:rFonts w:ascii="Times New Roman"/>
                      <w:kern w:val="2"/>
                      <w:szCs w:val="21"/>
                    </w:rPr>
                  </w:pPr>
                  <w:r>
                    <w:rPr>
                      <w:rFonts w:hint="eastAsia" w:ascii="Times New Roman"/>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ascii="Times New Roman"/>
                      <w:kern w:val="2"/>
                      <w:szCs w:val="21"/>
                    </w:rPr>
                    <w:t>18</w:t>
                  </w:r>
                </w:p>
              </w:tc>
              <w:tc>
                <w:tcPr>
                  <w:tcW w:w="2290" w:type="dxa"/>
                  <w:vAlign w:val="center"/>
                </w:tcPr>
                <w:p>
                  <w:pPr>
                    <w:pStyle w:val="50"/>
                    <w:spacing w:before="24" w:after="24"/>
                    <w:rPr>
                      <w:rFonts w:ascii="Times New Roman"/>
                      <w:kern w:val="2"/>
                      <w:szCs w:val="21"/>
                    </w:rPr>
                  </w:pPr>
                  <w:r>
                    <w:rPr>
                      <w:rFonts w:hint="eastAsia" w:ascii="Times New Roman"/>
                      <w:kern w:val="2"/>
                      <w:szCs w:val="21"/>
                    </w:rPr>
                    <w:t>水</w:t>
                  </w:r>
                </w:p>
              </w:tc>
              <w:tc>
                <w:tcPr>
                  <w:tcW w:w="1699" w:type="dxa"/>
                  <w:vAlign w:val="center"/>
                </w:tcPr>
                <w:p>
                  <w:pPr>
                    <w:pStyle w:val="50"/>
                    <w:spacing w:before="24" w:after="24"/>
                    <w:rPr>
                      <w:rFonts w:ascii="Times New Roman"/>
                      <w:kern w:val="2"/>
                      <w:szCs w:val="21"/>
                    </w:rPr>
                  </w:pPr>
                  <w:r>
                    <w:rPr>
                      <w:rFonts w:ascii="Times New Roman"/>
                      <w:szCs w:val="21"/>
                    </w:rPr>
                    <w:t>21412.46</w:t>
                  </w:r>
                  <w:r>
                    <w:rPr>
                      <w:rFonts w:hint="eastAsia" w:ascii="Times New Roman"/>
                      <w:kern w:val="2"/>
                      <w:szCs w:val="21"/>
                    </w:rPr>
                    <w:t>m</w:t>
                  </w:r>
                  <w:r>
                    <w:rPr>
                      <w:rFonts w:ascii="Times New Roman"/>
                      <w:kern w:val="2"/>
                      <w:szCs w:val="21"/>
                      <w:vertAlign w:val="superscript"/>
                    </w:rPr>
                    <w:t>3</w:t>
                  </w:r>
                  <w:r>
                    <w:rPr>
                      <w:rFonts w:ascii="Times New Roman"/>
                      <w:kern w:val="2"/>
                      <w:szCs w:val="21"/>
                    </w:rPr>
                    <w:t>/a</w:t>
                  </w:r>
                </w:p>
              </w:tc>
              <w:tc>
                <w:tcPr>
                  <w:tcW w:w="1701" w:type="dxa"/>
                  <w:vAlign w:val="center"/>
                </w:tcPr>
                <w:p>
                  <w:pPr>
                    <w:pStyle w:val="50"/>
                    <w:spacing w:before="24" w:after="24"/>
                    <w:rPr>
                      <w:rFonts w:ascii="Times New Roman"/>
                      <w:kern w:val="2"/>
                      <w:szCs w:val="21"/>
                    </w:rPr>
                  </w:pPr>
                  <w:r>
                    <w:rPr>
                      <w:rFonts w:hint="eastAsia" w:ascii="Times New Roman"/>
                      <w:kern w:val="2"/>
                      <w:szCs w:val="21"/>
                    </w:rPr>
                    <w:t>市政供水管网</w:t>
                  </w:r>
                </w:p>
              </w:tc>
              <w:tc>
                <w:tcPr>
                  <w:tcW w:w="2033" w:type="dxa"/>
                  <w:vAlign w:val="center"/>
                </w:tcPr>
                <w:p>
                  <w:pPr>
                    <w:pStyle w:val="50"/>
                    <w:spacing w:before="24" w:after="24"/>
                    <w:rPr>
                      <w:rFonts w:ascii="Times New Roman"/>
                      <w:kern w:val="2"/>
                      <w:szCs w:val="21"/>
                    </w:rPr>
                  </w:pPr>
                  <w:r>
                    <w:rPr>
                      <w:rFonts w:hint="eastAsia" w:ascii="Times New Roman"/>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2" w:type="dxa"/>
                  <w:vAlign w:val="center"/>
                </w:tcPr>
                <w:p>
                  <w:pPr>
                    <w:pStyle w:val="50"/>
                    <w:spacing w:before="24" w:after="24"/>
                    <w:rPr>
                      <w:rFonts w:ascii="Times New Roman"/>
                      <w:kern w:val="2"/>
                      <w:szCs w:val="21"/>
                    </w:rPr>
                  </w:pPr>
                  <w:r>
                    <w:rPr>
                      <w:rFonts w:ascii="Times New Roman"/>
                      <w:kern w:val="2"/>
                      <w:szCs w:val="21"/>
                    </w:rPr>
                    <w:t>19</w:t>
                  </w:r>
                </w:p>
              </w:tc>
              <w:tc>
                <w:tcPr>
                  <w:tcW w:w="2290" w:type="dxa"/>
                  <w:vAlign w:val="center"/>
                </w:tcPr>
                <w:p>
                  <w:pPr>
                    <w:pStyle w:val="50"/>
                    <w:spacing w:before="24" w:after="24"/>
                    <w:rPr>
                      <w:rFonts w:ascii="Times New Roman"/>
                      <w:kern w:val="2"/>
                      <w:szCs w:val="21"/>
                    </w:rPr>
                  </w:pPr>
                  <w:r>
                    <w:rPr>
                      <w:rFonts w:hint="eastAsia" w:ascii="Times New Roman"/>
                      <w:kern w:val="2"/>
                      <w:szCs w:val="21"/>
                    </w:rPr>
                    <w:t>电</w:t>
                  </w:r>
                </w:p>
              </w:tc>
              <w:tc>
                <w:tcPr>
                  <w:tcW w:w="1699" w:type="dxa"/>
                  <w:vAlign w:val="center"/>
                </w:tcPr>
                <w:p>
                  <w:pPr>
                    <w:pStyle w:val="50"/>
                    <w:spacing w:before="24" w:after="24"/>
                    <w:rPr>
                      <w:rFonts w:ascii="Times New Roman"/>
                      <w:kern w:val="2"/>
                      <w:szCs w:val="21"/>
                    </w:rPr>
                  </w:pPr>
                  <w:r>
                    <w:rPr>
                      <w:rFonts w:hint="eastAsia" w:ascii="Times New Roman"/>
                      <w:kern w:val="2"/>
                      <w:szCs w:val="21"/>
                    </w:rPr>
                    <w:t>40万</w:t>
                  </w:r>
                  <w:r>
                    <w:rPr>
                      <w:rFonts w:ascii="Times New Roman"/>
                      <w:kern w:val="2"/>
                      <w:szCs w:val="21"/>
                    </w:rPr>
                    <w:t>kW·h</w:t>
                  </w:r>
                </w:p>
              </w:tc>
              <w:tc>
                <w:tcPr>
                  <w:tcW w:w="1701" w:type="dxa"/>
                  <w:vAlign w:val="center"/>
                </w:tcPr>
                <w:p>
                  <w:pPr>
                    <w:pStyle w:val="50"/>
                    <w:spacing w:before="24" w:after="24"/>
                    <w:rPr>
                      <w:rFonts w:ascii="Times New Roman"/>
                      <w:kern w:val="2"/>
                      <w:szCs w:val="21"/>
                    </w:rPr>
                  </w:pPr>
                  <w:r>
                    <w:rPr>
                      <w:rFonts w:hint="eastAsia" w:ascii="Times New Roman"/>
                      <w:kern w:val="2"/>
                      <w:szCs w:val="21"/>
                    </w:rPr>
                    <w:t>市政供电电网</w:t>
                  </w:r>
                </w:p>
              </w:tc>
              <w:tc>
                <w:tcPr>
                  <w:tcW w:w="2033" w:type="dxa"/>
                  <w:vAlign w:val="center"/>
                </w:tcPr>
                <w:p>
                  <w:pPr>
                    <w:pStyle w:val="50"/>
                    <w:spacing w:before="24" w:after="24"/>
                    <w:rPr>
                      <w:rFonts w:ascii="Times New Roman"/>
                      <w:kern w:val="2"/>
                      <w:szCs w:val="21"/>
                    </w:rPr>
                  </w:pPr>
                  <w:r>
                    <w:rPr>
                      <w:rFonts w:hint="eastAsia" w:ascii="Times New Roman"/>
                      <w:kern w:val="2"/>
                      <w:szCs w:val="21"/>
                    </w:rPr>
                    <w:t>/</w:t>
                  </w:r>
                </w:p>
              </w:tc>
            </w:tr>
          </w:tbl>
          <w:p>
            <w:pPr>
              <w:tabs>
                <w:tab w:val="left" w:pos="4680"/>
              </w:tabs>
              <w:spacing w:line="360" w:lineRule="auto"/>
              <w:ind w:firstLine="482" w:firstLineChars="200"/>
              <w:rPr>
                <w:sz w:val="24"/>
              </w:rPr>
            </w:pPr>
            <w:r>
              <w:rPr>
                <w:b/>
                <w:kern w:val="0"/>
                <w:sz w:val="24"/>
              </w:rPr>
              <w:t>2、主要生产设备</w:t>
            </w:r>
          </w:p>
          <w:p>
            <w:pPr>
              <w:tabs>
                <w:tab w:val="left" w:pos="4680"/>
              </w:tabs>
              <w:spacing w:line="360" w:lineRule="auto"/>
              <w:ind w:firstLine="480" w:firstLineChars="200"/>
              <w:rPr>
                <w:sz w:val="24"/>
              </w:rPr>
            </w:pPr>
            <w:r>
              <w:rPr>
                <w:sz w:val="24"/>
              </w:rPr>
              <w:t>项目主要生产设备见表2-3。</w:t>
            </w:r>
          </w:p>
          <w:p>
            <w:pPr>
              <w:snapToGrid w:val="0"/>
              <w:jc w:val="center"/>
              <w:rPr>
                <w:b/>
                <w:sz w:val="24"/>
              </w:rPr>
            </w:pPr>
            <w:r>
              <w:rPr>
                <w:b/>
                <w:sz w:val="24"/>
              </w:rPr>
              <w:t>表2-3  项目主要设备一览表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4644"/>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b/>
                      <w:bCs/>
                      <w:szCs w:val="21"/>
                    </w:rPr>
                  </w:pPr>
                  <w:r>
                    <w:rPr>
                      <w:b/>
                      <w:bCs/>
                      <w:szCs w:val="21"/>
                    </w:rPr>
                    <w:t>序号</w:t>
                  </w:r>
                </w:p>
              </w:tc>
              <w:tc>
                <w:tcPr>
                  <w:tcW w:w="2769" w:type="pct"/>
                  <w:vAlign w:val="center"/>
                </w:tcPr>
                <w:p>
                  <w:pPr>
                    <w:jc w:val="center"/>
                    <w:rPr>
                      <w:b/>
                      <w:bCs/>
                      <w:szCs w:val="21"/>
                    </w:rPr>
                  </w:pPr>
                  <w:r>
                    <w:rPr>
                      <w:b/>
                      <w:bCs/>
                      <w:szCs w:val="21"/>
                    </w:rPr>
                    <w:t>设备名称</w:t>
                  </w:r>
                </w:p>
              </w:tc>
              <w:tc>
                <w:tcPr>
                  <w:tcW w:w="1323" w:type="pct"/>
                  <w:vAlign w:val="center"/>
                </w:tcPr>
                <w:p>
                  <w:pPr>
                    <w:jc w:val="center"/>
                    <w:rPr>
                      <w:b/>
                      <w:bCs/>
                      <w:szCs w:val="21"/>
                    </w:rPr>
                  </w:pPr>
                  <w:r>
                    <w:rPr>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w:t>
                  </w:r>
                </w:p>
              </w:tc>
              <w:tc>
                <w:tcPr>
                  <w:tcW w:w="2769" w:type="pct"/>
                </w:tcPr>
                <w:p>
                  <w:pPr>
                    <w:widowControl/>
                    <w:jc w:val="center"/>
                    <w:textAlignment w:val="center"/>
                    <w:rPr>
                      <w:kern w:val="0"/>
                      <w:szCs w:val="21"/>
                      <w:lang w:bidi="ar"/>
                    </w:rPr>
                  </w:pPr>
                  <w:r>
                    <w:rPr>
                      <w:rFonts w:hint="eastAsia"/>
                      <w:kern w:val="0"/>
                      <w:szCs w:val="21"/>
                      <w:lang w:bidi="ar"/>
                    </w:rPr>
                    <w:t>彩色超声</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2</w:t>
                  </w:r>
                </w:p>
              </w:tc>
              <w:tc>
                <w:tcPr>
                  <w:tcW w:w="2769" w:type="pct"/>
                </w:tcPr>
                <w:p>
                  <w:pPr>
                    <w:widowControl/>
                    <w:jc w:val="center"/>
                    <w:textAlignment w:val="center"/>
                    <w:rPr>
                      <w:kern w:val="0"/>
                      <w:szCs w:val="21"/>
                      <w:lang w:bidi="ar"/>
                    </w:rPr>
                  </w:pPr>
                  <w:r>
                    <w:rPr>
                      <w:rFonts w:hint="eastAsia"/>
                      <w:kern w:val="0"/>
                      <w:szCs w:val="21"/>
                      <w:lang w:bidi="ar"/>
                    </w:rPr>
                    <w:t>十二通道心电图机</w:t>
                  </w:r>
                </w:p>
              </w:tc>
              <w:tc>
                <w:tcPr>
                  <w:tcW w:w="1323" w:type="pct"/>
                  <w:vAlign w:val="center"/>
                </w:tcPr>
                <w:p>
                  <w:pPr>
                    <w:jc w:val="center"/>
                    <w:rPr>
                      <w:szCs w:val="21"/>
                    </w:rPr>
                  </w:pPr>
                  <w:r>
                    <w:rPr>
                      <w:szCs w:val="21"/>
                    </w:rPr>
                    <w:t>1</w:t>
                  </w:r>
                  <w:r>
                    <w:rPr>
                      <w:rFonts w:hint="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3</w:t>
                  </w:r>
                </w:p>
              </w:tc>
              <w:tc>
                <w:tcPr>
                  <w:tcW w:w="2769" w:type="pct"/>
                </w:tcPr>
                <w:p>
                  <w:pPr>
                    <w:widowControl/>
                    <w:jc w:val="center"/>
                    <w:textAlignment w:val="center"/>
                    <w:rPr>
                      <w:kern w:val="0"/>
                      <w:szCs w:val="21"/>
                      <w:lang w:bidi="ar"/>
                    </w:rPr>
                  </w:pPr>
                  <w:r>
                    <w:rPr>
                      <w:rFonts w:hint="eastAsia"/>
                      <w:kern w:val="0"/>
                      <w:szCs w:val="21"/>
                      <w:lang w:bidi="ar"/>
                    </w:rPr>
                    <w:t>手提式彩色 B超</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4</w:t>
                  </w:r>
                </w:p>
              </w:tc>
              <w:tc>
                <w:tcPr>
                  <w:tcW w:w="2769" w:type="pct"/>
                  <w:vAlign w:val="center"/>
                </w:tcPr>
                <w:p>
                  <w:pPr>
                    <w:widowControl/>
                    <w:jc w:val="center"/>
                    <w:textAlignment w:val="center"/>
                    <w:rPr>
                      <w:kern w:val="0"/>
                      <w:szCs w:val="21"/>
                      <w:lang w:bidi="ar"/>
                    </w:rPr>
                  </w:pPr>
                  <w:r>
                    <w:rPr>
                      <w:rFonts w:hint="eastAsia"/>
                      <w:kern w:val="0"/>
                      <w:szCs w:val="21"/>
                      <w:lang w:bidi="ar"/>
                    </w:rPr>
                    <w:t>口腔治疗仪</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5</w:t>
                  </w:r>
                </w:p>
              </w:tc>
              <w:tc>
                <w:tcPr>
                  <w:tcW w:w="2769" w:type="pct"/>
                  <w:vAlign w:val="center"/>
                </w:tcPr>
                <w:p>
                  <w:pPr>
                    <w:widowControl/>
                    <w:jc w:val="center"/>
                    <w:textAlignment w:val="center"/>
                    <w:rPr>
                      <w:kern w:val="0"/>
                      <w:szCs w:val="21"/>
                      <w:lang w:bidi="ar"/>
                    </w:rPr>
                  </w:pPr>
                  <w:r>
                    <w:rPr>
                      <w:rFonts w:hint="eastAsia"/>
                      <w:kern w:val="0"/>
                      <w:szCs w:val="21"/>
                      <w:lang w:bidi="ar"/>
                    </w:rPr>
                    <w:t>高压灭菌设备</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6</w:t>
                  </w:r>
                </w:p>
              </w:tc>
              <w:tc>
                <w:tcPr>
                  <w:tcW w:w="2769" w:type="pct"/>
                </w:tcPr>
                <w:p>
                  <w:pPr>
                    <w:widowControl/>
                    <w:jc w:val="center"/>
                    <w:textAlignment w:val="center"/>
                    <w:rPr>
                      <w:kern w:val="0"/>
                      <w:szCs w:val="21"/>
                      <w:lang w:bidi="ar"/>
                    </w:rPr>
                  </w:pPr>
                  <w:r>
                    <w:rPr>
                      <w:rFonts w:hint="eastAsia"/>
                      <w:kern w:val="0"/>
                      <w:szCs w:val="21"/>
                      <w:lang w:bidi="ar"/>
                    </w:rPr>
                    <w:t>玻璃体切割仪</w:t>
                  </w:r>
                </w:p>
              </w:tc>
              <w:tc>
                <w:tcPr>
                  <w:tcW w:w="1323" w:type="pct"/>
                  <w:vAlign w:val="center"/>
                </w:tcPr>
                <w:p>
                  <w:pPr>
                    <w:jc w:val="center"/>
                    <w:rPr>
                      <w:szCs w:val="21"/>
                    </w:rPr>
                  </w:pPr>
                  <w:r>
                    <w:rPr>
                      <w:szCs w:val="21"/>
                    </w:rPr>
                    <w:t>1</w:t>
                  </w:r>
                  <w:r>
                    <w:rPr>
                      <w:rFonts w:hint="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7</w:t>
                  </w:r>
                </w:p>
              </w:tc>
              <w:tc>
                <w:tcPr>
                  <w:tcW w:w="2769" w:type="pct"/>
                </w:tcPr>
                <w:p>
                  <w:pPr>
                    <w:widowControl/>
                    <w:jc w:val="center"/>
                    <w:textAlignment w:val="center"/>
                    <w:rPr>
                      <w:kern w:val="0"/>
                      <w:szCs w:val="21"/>
                      <w:lang w:bidi="ar"/>
                    </w:rPr>
                  </w:pPr>
                  <w:r>
                    <w:rPr>
                      <w:rFonts w:hint="eastAsia"/>
                      <w:kern w:val="0"/>
                      <w:szCs w:val="21"/>
                      <w:lang w:bidi="ar"/>
                    </w:rPr>
                    <w:t>眼底激光仪</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8</w:t>
                  </w:r>
                </w:p>
              </w:tc>
              <w:tc>
                <w:tcPr>
                  <w:tcW w:w="2769" w:type="pct"/>
                </w:tcPr>
                <w:p>
                  <w:pPr>
                    <w:widowControl/>
                    <w:jc w:val="center"/>
                    <w:textAlignment w:val="center"/>
                    <w:rPr>
                      <w:kern w:val="0"/>
                      <w:szCs w:val="21"/>
                      <w:lang w:bidi="ar"/>
                    </w:rPr>
                  </w:pPr>
                  <w:r>
                    <w:rPr>
                      <w:rFonts w:hint="eastAsia"/>
                      <w:kern w:val="0"/>
                      <w:szCs w:val="21"/>
                      <w:lang w:bidi="ar"/>
                    </w:rPr>
                    <w:t>眼底造影仪</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9</w:t>
                  </w:r>
                </w:p>
              </w:tc>
              <w:tc>
                <w:tcPr>
                  <w:tcW w:w="2769" w:type="pct"/>
                  <w:vAlign w:val="center"/>
                </w:tcPr>
                <w:p>
                  <w:pPr>
                    <w:widowControl/>
                    <w:jc w:val="center"/>
                    <w:textAlignment w:val="center"/>
                    <w:rPr>
                      <w:kern w:val="0"/>
                      <w:szCs w:val="21"/>
                      <w:lang w:bidi="ar"/>
                    </w:rPr>
                  </w:pPr>
                  <w:r>
                    <w:rPr>
                      <w:rFonts w:hint="eastAsia"/>
                      <w:kern w:val="0"/>
                      <w:szCs w:val="21"/>
                      <w:lang w:bidi="ar"/>
                    </w:rPr>
                    <w:t>盆腔治疗仪</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10</w:t>
                  </w:r>
                </w:p>
              </w:tc>
              <w:tc>
                <w:tcPr>
                  <w:tcW w:w="2769" w:type="pct"/>
                  <w:vAlign w:val="center"/>
                </w:tcPr>
                <w:p>
                  <w:pPr>
                    <w:widowControl/>
                    <w:jc w:val="center"/>
                    <w:textAlignment w:val="center"/>
                    <w:rPr>
                      <w:kern w:val="0"/>
                      <w:szCs w:val="21"/>
                      <w:lang w:bidi="ar"/>
                    </w:rPr>
                  </w:pPr>
                  <w:r>
                    <w:rPr>
                      <w:rFonts w:hint="eastAsia"/>
                      <w:kern w:val="0"/>
                      <w:szCs w:val="21"/>
                      <w:lang w:bidi="ar"/>
                    </w:rPr>
                    <w:t>空气</w:t>
                  </w:r>
                  <w:r>
                    <w:rPr>
                      <w:kern w:val="0"/>
                      <w:szCs w:val="21"/>
                      <w:lang w:bidi="ar"/>
                    </w:rPr>
                    <w:t>消毒机</w:t>
                  </w:r>
                </w:p>
              </w:tc>
              <w:tc>
                <w:tcPr>
                  <w:tcW w:w="1323" w:type="pct"/>
                  <w:vAlign w:val="center"/>
                </w:tcPr>
                <w:p>
                  <w:pPr>
                    <w:jc w:val="center"/>
                    <w:rPr>
                      <w:szCs w:val="21"/>
                    </w:rPr>
                  </w:pPr>
                  <w:r>
                    <w:rPr>
                      <w:rFonts w:hint="eastAsia"/>
                      <w:szCs w:val="21"/>
                    </w:rPr>
                    <w:t>12</w:t>
                  </w: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11</w:t>
                  </w:r>
                </w:p>
              </w:tc>
              <w:tc>
                <w:tcPr>
                  <w:tcW w:w="2769" w:type="pct"/>
                  <w:vAlign w:val="center"/>
                </w:tcPr>
                <w:p>
                  <w:pPr>
                    <w:widowControl/>
                    <w:jc w:val="center"/>
                    <w:textAlignment w:val="center"/>
                    <w:rPr>
                      <w:kern w:val="0"/>
                      <w:szCs w:val="21"/>
                      <w:lang w:bidi="ar"/>
                    </w:rPr>
                  </w:pPr>
                  <w:r>
                    <w:rPr>
                      <w:rFonts w:hint="eastAsia"/>
                      <w:kern w:val="0"/>
                      <w:szCs w:val="21"/>
                      <w:lang w:bidi="ar"/>
                    </w:rPr>
                    <w:t>体外碎石机</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12</w:t>
                  </w:r>
                </w:p>
              </w:tc>
              <w:tc>
                <w:tcPr>
                  <w:tcW w:w="2769" w:type="pct"/>
                  <w:vAlign w:val="center"/>
                </w:tcPr>
                <w:p>
                  <w:pPr>
                    <w:widowControl/>
                    <w:jc w:val="center"/>
                    <w:textAlignment w:val="center"/>
                    <w:rPr>
                      <w:kern w:val="0"/>
                      <w:szCs w:val="21"/>
                      <w:lang w:bidi="ar"/>
                    </w:rPr>
                  </w:pPr>
                  <w:r>
                    <w:rPr>
                      <w:rFonts w:hint="eastAsia"/>
                      <w:kern w:val="0"/>
                      <w:szCs w:val="21"/>
                      <w:lang w:bidi="ar"/>
                    </w:rPr>
                    <w:t>壁挂式紫外消毒机</w:t>
                  </w:r>
                </w:p>
              </w:tc>
              <w:tc>
                <w:tcPr>
                  <w:tcW w:w="1323" w:type="pct"/>
                  <w:vAlign w:val="center"/>
                </w:tcPr>
                <w:p>
                  <w:pPr>
                    <w:jc w:val="center"/>
                    <w:rPr>
                      <w:szCs w:val="21"/>
                    </w:rPr>
                  </w:pPr>
                  <w:r>
                    <w:rPr>
                      <w:rFonts w:hint="eastAsia"/>
                      <w:szCs w:val="21"/>
                    </w:rPr>
                    <w:t>12</w:t>
                  </w: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13</w:t>
                  </w:r>
                </w:p>
              </w:tc>
              <w:tc>
                <w:tcPr>
                  <w:tcW w:w="2769" w:type="pct"/>
                  <w:vAlign w:val="center"/>
                </w:tcPr>
                <w:p>
                  <w:pPr>
                    <w:widowControl/>
                    <w:jc w:val="center"/>
                    <w:textAlignment w:val="center"/>
                    <w:rPr>
                      <w:kern w:val="0"/>
                      <w:szCs w:val="21"/>
                      <w:lang w:bidi="ar"/>
                    </w:rPr>
                  </w:pPr>
                  <w:r>
                    <w:rPr>
                      <w:kern w:val="0"/>
                      <w:szCs w:val="21"/>
                      <w:lang w:bidi="ar"/>
                    </w:rPr>
                    <w:t>心电图仪</w:t>
                  </w:r>
                </w:p>
              </w:tc>
              <w:tc>
                <w:tcPr>
                  <w:tcW w:w="1323" w:type="pct"/>
                  <w:vAlign w:val="center"/>
                </w:tcPr>
                <w:p>
                  <w:pPr>
                    <w:jc w:val="center"/>
                    <w:rPr>
                      <w:szCs w:val="21"/>
                    </w:rPr>
                  </w:pPr>
                  <w:r>
                    <w:rPr>
                      <w:rFonts w:hint="eastAsia"/>
                      <w:szCs w:val="21"/>
                    </w:rPr>
                    <w:t>3</w:t>
                  </w:r>
                  <w:r>
                    <w:rPr>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14</w:t>
                  </w:r>
                </w:p>
              </w:tc>
              <w:tc>
                <w:tcPr>
                  <w:tcW w:w="2769" w:type="pct"/>
                  <w:vAlign w:val="center"/>
                </w:tcPr>
                <w:p>
                  <w:pPr>
                    <w:widowControl/>
                    <w:jc w:val="center"/>
                    <w:textAlignment w:val="center"/>
                    <w:rPr>
                      <w:kern w:val="0"/>
                      <w:szCs w:val="21"/>
                      <w:lang w:bidi="ar"/>
                    </w:rPr>
                  </w:pPr>
                  <w:r>
                    <w:rPr>
                      <w:rFonts w:hint="eastAsia"/>
                      <w:kern w:val="0"/>
                      <w:szCs w:val="21"/>
                      <w:lang w:bidi="ar"/>
                    </w:rPr>
                    <w:t>脑点图仪</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15</w:t>
                  </w:r>
                </w:p>
              </w:tc>
              <w:tc>
                <w:tcPr>
                  <w:tcW w:w="2769" w:type="pct"/>
                  <w:vAlign w:val="center"/>
                </w:tcPr>
                <w:p>
                  <w:pPr>
                    <w:widowControl/>
                    <w:jc w:val="center"/>
                    <w:textAlignment w:val="center"/>
                    <w:rPr>
                      <w:kern w:val="0"/>
                      <w:szCs w:val="21"/>
                      <w:lang w:bidi="ar"/>
                    </w:rPr>
                  </w:pPr>
                  <w:r>
                    <w:rPr>
                      <w:rFonts w:hint="eastAsia"/>
                      <w:kern w:val="0"/>
                      <w:szCs w:val="21"/>
                      <w:lang w:bidi="ar"/>
                    </w:rPr>
                    <w:t>心肺复苏器</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16</w:t>
                  </w:r>
                </w:p>
              </w:tc>
              <w:tc>
                <w:tcPr>
                  <w:tcW w:w="2769" w:type="pct"/>
                  <w:vAlign w:val="center"/>
                </w:tcPr>
                <w:p>
                  <w:pPr>
                    <w:widowControl/>
                    <w:jc w:val="center"/>
                    <w:textAlignment w:val="center"/>
                    <w:rPr>
                      <w:kern w:val="0"/>
                      <w:szCs w:val="21"/>
                      <w:lang w:bidi="ar"/>
                    </w:rPr>
                  </w:pPr>
                  <w:r>
                    <w:rPr>
                      <w:rFonts w:hint="eastAsia"/>
                      <w:kern w:val="0"/>
                      <w:szCs w:val="21"/>
                      <w:lang w:bidi="ar"/>
                    </w:rPr>
                    <w:t>洗胃机</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w:t>
                  </w:r>
                  <w:r>
                    <w:rPr>
                      <w:rFonts w:hint="eastAsia"/>
                      <w:szCs w:val="21"/>
                    </w:rPr>
                    <w:t>7</w:t>
                  </w:r>
                </w:p>
              </w:tc>
              <w:tc>
                <w:tcPr>
                  <w:tcW w:w="2769" w:type="pct"/>
                  <w:vAlign w:val="center"/>
                </w:tcPr>
                <w:p>
                  <w:pPr>
                    <w:widowControl/>
                    <w:jc w:val="center"/>
                    <w:textAlignment w:val="center"/>
                    <w:rPr>
                      <w:kern w:val="0"/>
                      <w:szCs w:val="21"/>
                      <w:lang w:bidi="ar"/>
                    </w:rPr>
                  </w:pPr>
                  <w:r>
                    <w:rPr>
                      <w:rFonts w:hint="eastAsia"/>
                      <w:kern w:val="0"/>
                      <w:szCs w:val="21"/>
                      <w:lang w:bidi="ar"/>
                    </w:rPr>
                    <w:t>监护仪</w:t>
                  </w:r>
                </w:p>
              </w:tc>
              <w:tc>
                <w:tcPr>
                  <w:tcW w:w="1323" w:type="pct"/>
                  <w:vAlign w:val="center"/>
                </w:tcPr>
                <w:p>
                  <w:pPr>
                    <w:jc w:val="center"/>
                    <w:rPr>
                      <w:szCs w:val="21"/>
                    </w:rPr>
                  </w:pPr>
                  <w:r>
                    <w:rPr>
                      <w:rFonts w:hint="eastAsia"/>
                      <w:szCs w:val="21"/>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18</w:t>
                  </w:r>
                </w:p>
              </w:tc>
              <w:tc>
                <w:tcPr>
                  <w:tcW w:w="2769" w:type="pct"/>
                  <w:vAlign w:val="center"/>
                </w:tcPr>
                <w:p>
                  <w:pPr>
                    <w:widowControl/>
                    <w:jc w:val="center"/>
                    <w:textAlignment w:val="center"/>
                    <w:rPr>
                      <w:kern w:val="0"/>
                      <w:szCs w:val="21"/>
                      <w:lang w:bidi="ar"/>
                    </w:rPr>
                  </w:pPr>
                  <w:r>
                    <w:rPr>
                      <w:rFonts w:hint="eastAsia"/>
                      <w:kern w:val="0"/>
                      <w:szCs w:val="21"/>
                      <w:lang w:bidi="ar"/>
                    </w:rPr>
                    <w:t>心电除颤仪</w:t>
                  </w:r>
                </w:p>
              </w:tc>
              <w:tc>
                <w:tcPr>
                  <w:tcW w:w="132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19</w:t>
                  </w:r>
                </w:p>
              </w:tc>
              <w:tc>
                <w:tcPr>
                  <w:tcW w:w="2769" w:type="pct"/>
                  <w:vAlign w:val="center"/>
                </w:tcPr>
                <w:p>
                  <w:pPr>
                    <w:widowControl/>
                    <w:jc w:val="center"/>
                    <w:textAlignment w:val="center"/>
                    <w:rPr>
                      <w:kern w:val="0"/>
                      <w:szCs w:val="21"/>
                      <w:lang w:bidi="ar"/>
                    </w:rPr>
                  </w:pPr>
                  <w:r>
                    <w:rPr>
                      <w:rFonts w:hint="eastAsia"/>
                      <w:kern w:val="0"/>
                      <w:szCs w:val="21"/>
                      <w:lang w:bidi="ar"/>
                    </w:rPr>
                    <w:t>肺功能仪</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20</w:t>
                  </w:r>
                </w:p>
              </w:tc>
              <w:tc>
                <w:tcPr>
                  <w:tcW w:w="2769" w:type="pct"/>
                  <w:vAlign w:val="center"/>
                </w:tcPr>
                <w:p>
                  <w:pPr>
                    <w:widowControl/>
                    <w:jc w:val="center"/>
                    <w:textAlignment w:val="center"/>
                    <w:rPr>
                      <w:kern w:val="0"/>
                      <w:szCs w:val="21"/>
                      <w:lang w:bidi="ar"/>
                    </w:rPr>
                  </w:pPr>
                  <w:r>
                    <w:rPr>
                      <w:rFonts w:hint="eastAsia"/>
                      <w:kern w:val="0"/>
                      <w:szCs w:val="21"/>
                      <w:lang w:bidi="ar"/>
                    </w:rPr>
                    <w:t>动态血糖监测仪</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21</w:t>
                  </w:r>
                </w:p>
              </w:tc>
              <w:tc>
                <w:tcPr>
                  <w:tcW w:w="2769" w:type="pct"/>
                  <w:vAlign w:val="center"/>
                </w:tcPr>
                <w:p>
                  <w:pPr>
                    <w:widowControl/>
                    <w:jc w:val="center"/>
                    <w:textAlignment w:val="center"/>
                    <w:rPr>
                      <w:kern w:val="0"/>
                      <w:szCs w:val="21"/>
                      <w:lang w:bidi="ar"/>
                    </w:rPr>
                  </w:pPr>
                  <w:r>
                    <w:rPr>
                      <w:rFonts w:hint="eastAsia"/>
                      <w:kern w:val="0"/>
                      <w:szCs w:val="21"/>
                      <w:lang w:bidi="ar"/>
                    </w:rPr>
                    <w:t>手术</w:t>
                  </w:r>
                  <w:r>
                    <w:rPr>
                      <w:kern w:val="0"/>
                      <w:szCs w:val="21"/>
                      <w:lang w:bidi="ar"/>
                    </w:rPr>
                    <w:t>显微镜</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szCs w:val="21"/>
                    </w:rPr>
                    <w:t>22</w:t>
                  </w:r>
                </w:p>
              </w:tc>
              <w:tc>
                <w:tcPr>
                  <w:tcW w:w="2769" w:type="pct"/>
                  <w:vAlign w:val="center"/>
                </w:tcPr>
                <w:p>
                  <w:pPr>
                    <w:widowControl/>
                    <w:jc w:val="center"/>
                    <w:textAlignment w:val="center"/>
                    <w:rPr>
                      <w:kern w:val="0"/>
                      <w:szCs w:val="21"/>
                      <w:lang w:bidi="ar"/>
                    </w:rPr>
                  </w:pPr>
                  <w:r>
                    <w:rPr>
                      <w:kern w:val="0"/>
                      <w:szCs w:val="21"/>
                      <w:lang w:bidi="ar"/>
                    </w:rPr>
                    <w:t>血凝分析仪</w:t>
                  </w:r>
                </w:p>
              </w:tc>
              <w:tc>
                <w:tcPr>
                  <w:tcW w:w="1323" w:type="pct"/>
                  <w:vAlign w:val="center"/>
                </w:tcPr>
                <w:p>
                  <w:pPr>
                    <w:jc w:val="center"/>
                    <w:rPr>
                      <w:szCs w:val="21"/>
                    </w:rPr>
                  </w:pPr>
                  <w:r>
                    <w:rPr>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23</w:t>
                  </w:r>
                </w:p>
              </w:tc>
              <w:tc>
                <w:tcPr>
                  <w:tcW w:w="2769" w:type="pct"/>
                </w:tcPr>
                <w:p>
                  <w:pPr>
                    <w:widowControl/>
                    <w:jc w:val="center"/>
                    <w:textAlignment w:val="center"/>
                    <w:rPr>
                      <w:kern w:val="0"/>
                      <w:szCs w:val="21"/>
                      <w:lang w:bidi="ar"/>
                    </w:rPr>
                  </w:pPr>
                  <w:r>
                    <w:rPr>
                      <w:rFonts w:hint="eastAsia"/>
                      <w:kern w:val="0"/>
                      <w:szCs w:val="21"/>
                      <w:lang w:bidi="ar"/>
                    </w:rPr>
                    <w:t>尿液分析仪</w:t>
                  </w:r>
                </w:p>
              </w:tc>
              <w:tc>
                <w:tcPr>
                  <w:tcW w:w="132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w:t>
                  </w:r>
                  <w:r>
                    <w:rPr>
                      <w:szCs w:val="21"/>
                    </w:rPr>
                    <w:t>4</w:t>
                  </w:r>
                </w:p>
              </w:tc>
              <w:tc>
                <w:tcPr>
                  <w:tcW w:w="2769" w:type="pct"/>
                </w:tcPr>
                <w:p>
                  <w:pPr>
                    <w:widowControl/>
                    <w:jc w:val="center"/>
                    <w:textAlignment w:val="center"/>
                    <w:rPr>
                      <w:kern w:val="0"/>
                      <w:szCs w:val="21"/>
                      <w:lang w:bidi="ar"/>
                    </w:rPr>
                  </w:pPr>
                  <w:r>
                    <w:rPr>
                      <w:rFonts w:hint="eastAsia"/>
                      <w:kern w:val="0"/>
                      <w:szCs w:val="21"/>
                      <w:lang w:bidi="ar"/>
                    </w:rPr>
                    <w:t>电解质分析仪</w:t>
                  </w:r>
                </w:p>
              </w:tc>
              <w:tc>
                <w:tcPr>
                  <w:tcW w:w="132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25</w:t>
                  </w:r>
                </w:p>
              </w:tc>
              <w:tc>
                <w:tcPr>
                  <w:tcW w:w="2769" w:type="pct"/>
                </w:tcPr>
                <w:p>
                  <w:pPr>
                    <w:widowControl/>
                    <w:jc w:val="center"/>
                    <w:textAlignment w:val="center"/>
                    <w:rPr>
                      <w:kern w:val="0"/>
                      <w:szCs w:val="21"/>
                      <w:lang w:bidi="ar"/>
                    </w:rPr>
                  </w:pPr>
                  <w:r>
                    <w:rPr>
                      <w:rFonts w:hint="eastAsia"/>
                      <w:kern w:val="0"/>
                      <w:szCs w:val="21"/>
                      <w:lang w:bidi="ar"/>
                    </w:rPr>
                    <w:t>血流变仪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26</w:t>
                  </w:r>
                </w:p>
              </w:tc>
              <w:tc>
                <w:tcPr>
                  <w:tcW w:w="2769" w:type="pct"/>
                </w:tcPr>
                <w:p>
                  <w:pPr>
                    <w:widowControl/>
                    <w:jc w:val="center"/>
                    <w:textAlignment w:val="center"/>
                    <w:rPr>
                      <w:kern w:val="0"/>
                      <w:szCs w:val="21"/>
                      <w:lang w:bidi="ar"/>
                    </w:rPr>
                  </w:pPr>
                  <w:r>
                    <w:rPr>
                      <w:rFonts w:hint="eastAsia"/>
                      <w:kern w:val="0"/>
                      <w:szCs w:val="21"/>
                      <w:lang w:bidi="ar"/>
                    </w:rPr>
                    <w:t>糖化血红蛋白仪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27</w:t>
                  </w:r>
                </w:p>
              </w:tc>
              <w:tc>
                <w:tcPr>
                  <w:tcW w:w="2769" w:type="pct"/>
                </w:tcPr>
                <w:p>
                  <w:pPr>
                    <w:widowControl/>
                    <w:jc w:val="center"/>
                    <w:textAlignment w:val="center"/>
                    <w:rPr>
                      <w:kern w:val="0"/>
                      <w:szCs w:val="21"/>
                      <w:lang w:bidi="ar"/>
                    </w:rPr>
                  </w:pPr>
                  <w:r>
                    <w:rPr>
                      <w:rFonts w:hint="eastAsia"/>
                      <w:kern w:val="0"/>
                      <w:szCs w:val="21"/>
                      <w:lang w:bidi="ar"/>
                    </w:rPr>
                    <w:t>血球分析仪 (五分类)</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28</w:t>
                  </w:r>
                </w:p>
              </w:tc>
              <w:tc>
                <w:tcPr>
                  <w:tcW w:w="2769" w:type="pct"/>
                </w:tcPr>
                <w:p>
                  <w:pPr>
                    <w:widowControl/>
                    <w:jc w:val="center"/>
                    <w:textAlignment w:val="center"/>
                    <w:rPr>
                      <w:kern w:val="0"/>
                      <w:szCs w:val="21"/>
                      <w:lang w:bidi="ar"/>
                    </w:rPr>
                  </w:pPr>
                  <w:r>
                    <w:rPr>
                      <w:rFonts w:hint="eastAsia"/>
                      <w:kern w:val="0"/>
                      <w:szCs w:val="21"/>
                      <w:lang w:bidi="ar"/>
                    </w:rPr>
                    <w:t>全自动生化分析仪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29</w:t>
                  </w:r>
                </w:p>
              </w:tc>
              <w:tc>
                <w:tcPr>
                  <w:tcW w:w="2769" w:type="pct"/>
                  <w:vAlign w:val="center"/>
                </w:tcPr>
                <w:p>
                  <w:pPr>
                    <w:widowControl/>
                    <w:jc w:val="center"/>
                    <w:textAlignment w:val="center"/>
                    <w:rPr>
                      <w:kern w:val="0"/>
                      <w:szCs w:val="21"/>
                      <w:highlight w:val="yellow"/>
                      <w:lang w:bidi="ar"/>
                    </w:rPr>
                  </w:pPr>
                  <w:r>
                    <w:rPr>
                      <w:rFonts w:hint="eastAsia"/>
                      <w:kern w:val="0"/>
                      <w:szCs w:val="21"/>
                      <w:lang w:bidi="ar"/>
                    </w:rPr>
                    <w:t>真空灭菌器</w:t>
                  </w:r>
                </w:p>
              </w:tc>
              <w:tc>
                <w:tcPr>
                  <w:tcW w:w="1323" w:type="pct"/>
                  <w:vAlign w:val="center"/>
                </w:tcPr>
                <w:p>
                  <w:pPr>
                    <w:jc w:val="center"/>
                    <w:rPr>
                      <w:szCs w:val="21"/>
                      <w:highlight w:val="yellow"/>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w:t>
                  </w:r>
                  <w:r>
                    <w:rPr>
                      <w:szCs w:val="21"/>
                    </w:rPr>
                    <w:t>0</w:t>
                  </w:r>
                </w:p>
              </w:tc>
              <w:tc>
                <w:tcPr>
                  <w:tcW w:w="2769" w:type="pct"/>
                  <w:vAlign w:val="center"/>
                </w:tcPr>
                <w:p>
                  <w:pPr>
                    <w:widowControl/>
                    <w:jc w:val="center"/>
                    <w:textAlignment w:val="center"/>
                    <w:rPr>
                      <w:kern w:val="0"/>
                      <w:szCs w:val="21"/>
                      <w:highlight w:val="yellow"/>
                      <w:lang w:bidi="ar"/>
                    </w:rPr>
                  </w:pPr>
                  <w:r>
                    <w:rPr>
                      <w:rFonts w:hint="eastAsia"/>
                      <w:kern w:val="0"/>
                      <w:szCs w:val="21"/>
                      <w:lang w:bidi="ar"/>
                    </w:rPr>
                    <w:t>环氧乙烷消毒锅</w:t>
                  </w:r>
                </w:p>
              </w:tc>
              <w:tc>
                <w:tcPr>
                  <w:tcW w:w="1323" w:type="pct"/>
                  <w:vAlign w:val="center"/>
                </w:tcPr>
                <w:p>
                  <w:pPr>
                    <w:jc w:val="center"/>
                    <w:rPr>
                      <w:szCs w:val="21"/>
                      <w:highlight w:val="yellow"/>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31</w:t>
                  </w:r>
                </w:p>
              </w:tc>
              <w:tc>
                <w:tcPr>
                  <w:tcW w:w="2769" w:type="pct"/>
                  <w:vAlign w:val="center"/>
                </w:tcPr>
                <w:p>
                  <w:pPr>
                    <w:widowControl/>
                    <w:jc w:val="center"/>
                    <w:textAlignment w:val="center"/>
                    <w:rPr>
                      <w:kern w:val="0"/>
                      <w:szCs w:val="21"/>
                      <w:lang w:bidi="ar"/>
                    </w:rPr>
                  </w:pPr>
                  <w:r>
                    <w:rPr>
                      <w:rFonts w:hint="eastAsia"/>
                      <w:kern w:val="0"/>
                      <w:szCs w:val="21"/>
                      <w:lang w:bidi="ar"/>
                    </w:rPr>
                    <w:t>超声清洗器</w:t>
                  </w:r>
                </w:p>
              </w:tc>
              <w:tc>
                <w:tcPr>
                  <w:tcW w:w="1323" w:type="pct"/>
                  <w:vAlign w:val="center"/>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32</w:t>
                  </w:r>
                </w:p>
              </w:tc>
              <w:tc>
                <w:tcPr>
                  <w:tcW w:w="2769" w:type="pct"/>
                </w:tcPr>
                <w:p>
                  <w:pPr>
                    <w:widowControl/>
                    <w:jc w:val="center"/>
                    <w:textAlignment w:val="center"/>
                    <w:rPr>
                      <w:kern w:val="0"/>
                      <w:szCs w:val="21"/>
                      <w:lang w:bidi="ar"/>
                    </w:rPr>
                  </w:pPr>
                  <w:r>
                    <w:rPr>
                      <w:rFonts w:hint="eastAsia"/>
                      <w:kern w:val="0"/>
                      <w:szCs w:val="21"/>
                      <w:lang w:bidi="ar"/>
                    </w:rPr>
                    <w:t>中频脉冲电治疗仪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33</w:t>
                  </w:r>
                </w:p>
              </w:tc>
              <w:tc>
                <w:tcPr>
                  <w:tcW w:w="2769" w:type="pct"/>
                </w:tcPr>
                <w:p>
                  <w:pPr>
                    <w:widowControl/>
                    <w:jc w:val="center"/>
                    <w:textAlignment w:val="center"/>
                    <w:rPr>
                      <w:kern w:val="0"/>
                      <w:szCs w:val="21"/>
                      <w:lang w:bidi="ar"/>
                    </w:rPr>
                  </w:pPr>
                  <w:r>
                    <w:rPr>
                      <w:rFonts w:hint="eastAsia"/>
                      <w:kern w:val="0"/>
                      <w:szCs w:val="21"/>
                      <w:lang w:bidi="ar"/>
                    </w:rPr>
                    <w:t>经颅磁磁刺激治疗仪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34</w:t>
                  </w:r>
                </w:p>
              </w:tc>
              <w:tc>
                <w:tcPr>
                  <w:tcW w:w="2769" w:type="pct"/>
                  <w:vAlign w:val="center"/>
                </w:tcPr>
                <w:p>
                  <w:pPr>
                    <w:widowControl/>
                    <w:jc w:val="center"/>
                    <w:textAlignment w:val="center"/>
                    <w:rPr>
                      <w:kern w:val="0"/>
                      <w:szCs w:val="21"/>
                      <w:lang w:bidi="ar"/>
                    </w:rPr>
                  </w:pPr>
                  <w:r>
                    <w:rPr>
                      <w:rFonts w:hint="eastAsia"/>
                      <w:kern w:val="0"/>
                      <w:szCs w:val="21"/>
                      <w:lang w:bidi="ar"/>
                    </w:rPr>
                    <w:t>中医定向透药仪</w:t>
                  </w:r>
                </w:p>
              </w:tc>
              <w:tc>
                <w:tcPr>
                  <w:tcW w:w="1323" w:type="pct"/>
                </w:tcPr>
                <w:p>
                  <w:pPr>
                    <w:jc w:val="cente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35</w:t>
                  </w:r>
                </w:p>
              </w:tc>
              <w:tc>
                <w:tcPr>
                  <w:tcW w:w="2769" w:type="pct"/>
                  <w:vAlign w:val="center"/>
                </w:tcPr>
                <w:p>
                  <w:pPr>
                    <w:widowControl/>
                    <w:jc w:val="center"/>
                    <w:textAlignment w:val="center"/>
                    <w:rPr>
                      <w:kern w:val="0"/>
                      <w:szCs w:val="21"/>
                      <w:lang w:bidi="ar"/>
                    </w:rPr>
                  </w:pPr>
                  <w:r>
                    <w:rPr>
                      <w:rFonts w:hint="eastAsia"/>
                      <w:kern w:val="0"/>
                      <w:szCs w:val="21"/>
                      <w:lang w:bidi="ar"/>
                    </w:rPr>
                    <w:t>120救护车</w:t>
                  </w:r>
                </w:p>
              </w:tc>
              <w:tc>
                <w:tcPr>
                  <w:tcW w:w="1323" w:type="pct"/>
                  <w:vAlign w:val="center"/>
                </w:tcPr>
                <w:p>
                  <w:pPr>
                    <w:jc w:val="center"/>
                  </w:pPr>
                  <w:r>
                    <w:rPr>
                      <w:rFonts w:hint="eastAsia"/>
                      <w:szCs w:val="21"/>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08" w:type="pct"/>
                  <w:vAlign w:val="center"/>
                </w:tcPr>
                <w:p>
                  <w:pPr>
                    <w:jc w:val="center"/>
                    <w:rPr>
                      <w:szCs w:val="21"/>
                    </w:rPr>
                  </w:pPr>
                  <w:r>
                    <w:rPr>
                      <w:rFonts w:hint="eastAsia"/>
                      <w:szCs w:val="21"/>
                    </w:rPr>
                    <w:t>36</w:t>
                  </w:r>
                </w:p>
              </w:tc>
              <w:tc>
                <w:tcPr>
                  <w:tcW w:w="2769" w:type="pct"/>
                  <w:vAlign w:val="center"/>
                </w:tcPr>
                <w:p>
                  <w:pPr>
                    <w:widowControl/>
                    <w:jc w:val="center"/>
                    <w:textAlignment w:val="center"/>
                    <w:rPr>
                      <w:kern w:val="0"/>
                      <w:szCs w:val="21"/>
                      <w:lang w:bidi="ar"/>
                    </w:rPr>
                  </w:pPr>
                  <w:r>
                    <w:rPr>
                      <w:rFonts w:hint="eastAsia"/>
                      <w:kern w:val="0"/>
                      <w:szCs w:val="21"/>
                      <w:lang w:bidi="ar"/>
                    </w:rPr>
                    <w:t>纯水制备设备</w:t>
                  </w:r>
                </w:p>
              </w:tc>
              <w:tc>
                <w:tcPr>
                  <w:tcW w:w="1323" w:type="pct"/>
                  <w:vAlign w:val="center"/>
                </w:tcPr>
                <w:p>
                  <w:pPr>
                    <w:jc w:val="center"/>
                  </w:pPr>
                  <w:r>
                    <w:rPr>
                      <w:rFonts w:hint="eastAsia"/>
                      <w:szCs w:val="21"/>
                    </w:rPr>
                    <w:t>1台</w:t>
                  </w:r>
                </w:p>
              </w:tc>
            </w:tr>
          </w:tbl>
          <w:p>
            <w:pPr>
              <w:spacing w:before="120" w:beforeLines="50" w:line="360" w:lineRule="auto"/>
              <w:ind w:left="482"/>
              <w:jc w:val="left"/>
              <w:rPr>
                <w:b/>
                <w:sz w:val="24"/>
              </w:rPr>
            </w:pPr>
            <w:r>
              <w:rPr>
                <w:b/>
                <w:sz w:val="24"/>
              </w:rPr>
              <w:t>3、服务情况</w:t>
            </w:r>
          </w:p>
          <w:p>
            <w:pPr>
              <w:spacing w:line="360" w:lineRule="auto"/>
              <w:ind w:firstLine="480" w:firstLineChars="200"/>
              <w:jc w:val="left"/>
              <w:rPr>
                <w:sz w:val="24"/>
              </w:rPr>
            </w:pPr>
            <w:r>
              <w:rPr>
                <w:sz w:val="24"/>
              </w:rPr>
              <w:t>根据建设单位提供，</w:t>
            </w:r>
            <w:r>
              <w:rPr>
                <w:rFonts w:hint="eastAsia"/>
                <w:sz w:val="24"/>
              </w:rPr>
              <w:t>医院</w:t>
            </w:r>
            <w:r>
              <w:rPr>
                <w:sz w:val="24"/>
              </w:rPr>
              <w:t>服务量见表2-4。</w:t>
            </w:r>
          </w:p>
          <w:p>
            <w:pPr>
              <w:snapToGrid w:val="0"/>
              <w:jc w:val="center"/>
              <w:rPr>
                <w:sz w:val="24"/>
              </w:rPr>
            </w:pPr>
            <w:r>
              <w:rPr>
                <w:b/>
                <w:bCs/>
                <w:sz w:val="24"/>
              </w:rPr>
              <w:t>表2-4    服务量一览表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174"/>
              <w:gridCol w:w="2224"/>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pct"/>
                  <w:vMerge w:val="restart"/>
                  <w:vAlign w:val="center"/>
                </w:tcPr>
                <w:p>
                  <w:pPr>
                    <w:jc w:val="center"/>
                    <w:rPr>
                      <w:b/>
                      <w:bCs/>
                      <w:szCs w:val="21"/>
                    </w:rPr>
                  </w:pPr>
                  <w:r>
                    <w:rPr>
                      <w:b/>
                      <w:bCs/>
                      <w:szCs w:val="21"/>
                    </w:rPr>
                    <w:t>服务项目</w:t>
                  </w:r>
                </w:p>
              </w:tc>
              <w:tc>
                <w:tcPr>
                  <w:tcW w:w="1296" w:type="pct"/>
                  <w:vMerge w:val="restart"/>
                  <w:vAlign w:val="center"/>
                </w:tcPr>
                <w:p>
                  <w:pPr>
                    <w:jc w:val="center"/>
                    <w:rPr>
                      <w:b/>
                      <w:bCs/>
                      <w:szCs w:val="21"/>
                    </w:rPr>
                  </w:pPr>
                  <w:r>
                    <w:rPr>
                      <w:b/>
                      <w:bCs/>
                      <w:szCs w:val="21"/>
                    </w:rPr>
                    <w:t>病床数</w:t>
                  </w:r>
                </w:p>
              </w:tc>
              <w:tc>
                <w:tcPr>
                  <w:tcW w:w="2589" w:type="pct"/>
                  <w:gridSpan w:val="2"/>
                  <w:vAlign w:val="center"/>
                </w:tcPr>
                <w:p>
                  <w:pPr>
                    <w:jc w:val="center"/>
                    <w:rPr>
                      <w:b/>
                      <w:bCs/>
                      <w:szCs w:val="21"/>
                    </w:rPr>
                  </w:pPr>
                  <w:r>
                    <w:rPr>
                      <w:b/>
                      <w:bCs/>
                      <w:szCs w:val="21"/>
                    </w:rPr>
                    <w:t>门诊量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pct"/>
                  <w:vMerge w:val="continue"/>
                  <w:vAlign w:val="center"/>
                </w:tcPr>
                <w:p>
                  <w:pPr>
                    <w:jc w:val="center"/>
                    <w:rPr>
                      <w:szCs w:val="21"/>
                    </w:rPr>
                  </w:pPr>
                </w:p>
              </w:tc>
              <w:tc>
                <w:tcPr>
                  <w:tcW w:w="1296" w:type="pct"/>
                  <w:vMerge w:val="continue"/>
                  <w:vAlign w:val="center"/>
                </w:tcPr>
                <w:p>
                  <w:pPr>
                    <w:jc w:val="center"/>
                    <w:rPr>
                      <w:szCs w:val="21"/>
                    </w:rPr>
                  </w:pPr>
                </w:p>
              </w:tc>
              <w:tc>
                <w:tcPr>
                  <w:tcW w:w="1326" w:type="pct"/>
                  <w:vAlign w:val="center"/>
                </w:tcPr>
                <w:p>
                  <w:pPr>
                    <w:jc w:val="center"/>
                    <w:rPr>
                      <w:b/>
                      <w:bCs/>
                      <w:szCs w:val="21"/>
                    </w:rPr>
                  </w:pPr>
                  <w:r>
                    <w:rPr>
                      <w:b/>
                      <w:bCs/>
                      <w:szCs w:val="21"/>
                    </w:rPr>
                    <w:t>人次/日</w:t>
                  </w:r>
                </w:p>
              </w:tc>
              <w:tc>
                <w:tcPr>
                  <w:tcW w:w="1263" w:type="pct"/>
                  <w:vAlign w:val="center"/>
                </w:tcPr>
                <w:p>
                  <w:pPr>
                    <w:jc w:val="center"/>
                    <w:rPr>
                      <w:b/>
                      <w:bCs/>
                      <w:szCs w:val="21"/>
                    </w:rPr>
                  </w:pPr>
                  <w:r>
                    <w:rPr>
                      <w:b/>
                      <w:bCs/>
                      <w:szCs w:val="21"/>
                    </w:rPr>
                    <w:t>人次/年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pct"/>
                  <w:vAlign w:val="center"/>
                </w:tcPr>
                <w:p>
                  <w:pPr>
                    <w:jc w:val="center"/>
                    <w:rPr>
                      <w:szCs w:val="21"/>
                    </w:rPr>
                  </w:pPr>
                  <w:r>
                    <w:rPr>
                      <w:rFonts w:hint="eastAsia"/>
                      <w:szCs w:val="21"/>
                    </w:rPr>
                    <w:t>子洲县人民医院分院</w:t>
                  </w:r>
                </w:p>
              </w:tc>
              <w:tc>
                <w:tcPr>
                  <w:tcW w:w="1296" w:type="pct"/>
                  <w:vAlign w:val="center"/>
                </w:tcPr>
                <w:p>
                  <w:pPr>
                    <w:jc w:val="center"/>
                    <w:rPr>
                      <w:szCs w:val="21"/>
                    </w:rPr>
                  </w:pPr>
                  <w:r>
                    <w:rPr>
                      <w:szCs w:val="21"/>
                    </w:rPr>
                    <w:t>99张</w:t>
                  </w:r>
                </w:p>
              </w:tc>
              <w:tc>
                <w:tcPr>
                  <w:tcW w:w="1326" w:type="pct"/>
                  <w:vMerge w:val="restart"/>
                  <w:vAlign w:val="center"/>
                </w:tcPr>
                <w:p>
                  <w:pPr>
                    <w:jc w:val="center"/>
                    <w:rPr>
                      <w:szCs w:val="21"/>
                    </w:rPr>
                  </w:pPr>
                  <w:r>
                    <w:rPr>
                      <w:rFonts w:hint="eastAsia"/>
                      <w:szCs w:val="21"/>
                    </w:rPr>
                    <w:t>80</w:t>
                  </w:r>
                </w:p>
              </w:tc>
              <w:tc>
                <w:tcPr>
                  <w:tcW w:w="1263" w:type="pct"/>
                  <w:vMerge w:val="restart"/>
                  <w:vAlign w:val="center"/>
                </w:tcPr>
                <w:p>
                  <w:pPr>
                    <w:jc w:val="center"/>
                    <w:rPr>
                      <w:szCs w:val="21"/>
                    </w:rPr>
                  </w:pPr>
                  <w:r>
                    <w:rPr>
                      <w:rFonts w:hint="eastAsia"/>
                      <w:szCs w:val="21"/>
                    </w:rPr>
                    <w:t>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pct"/>
                  <w:vAlign w:val="center"/>
                </w:tcPr>
                <w:p>
                  <w:pPr>
                    <w:jc w:val="center"/>
                    <w:rPr>
                      <w:szCs w:val="21"/>
                    </w:rPr>
                  </w:pPr>
                  <w:r>
                    <w:rPr>
                      <w:rFonts w:hint="eastAsia"/>
                      <w:szCs w:val="21"/>
                    </w:rPr>
                    <w:t>康养中心</w:t>
                  </w:r>
                </w:p>
              </w:tc>
              <w:tc>
                <w:tcPr>
                  <w:tcW w:w="1296" w:type="pct"/>
                  <w:vAlign w:val="center"/>
                </w:tcPr>
                <w:p>
                  <w:pPr>
                    <w:jc w:val="center"/>
                    <w:rPr>
                      <w:szCs w:val="21"/>
                    </w:rPr>
                  </w:pPr>
                  <w:r>
                    <w:rPr>
                      <w:szCs w:val="21"/>
                    </w:rPr>
                    <w:t>117</w:t>
                  </w:r>
                  <w:r>
                    <w:rPr>
                      <w:rFonts w:hint="eastAsia"/>
                      <w:szCs w:val="21"/>
                    </w:rPr>
                    <w:t>张</w:t>
                  </w:r>
                </w:p>
              </w:tc>
              <w:tc>
                <w:tcPr>
                  <w:tcW w:w="1326" w:type="pct"/>
                  <w:vMerge w:val="continue"/>
                  <w:vAlign w:val="center"/>
                </w:tcPr>
                <w:p>
                  <w:pPr>
                    <w:jc w:val="center"/>
                    <w:rPr>
                      <w:szCs w:val="21"/>
                    </w:rPr>
                  </w:pPr>
                </w:p>
              </w:tc>
              <w:tc>
                <w:tcPr>
                  <w:tcW w:w="1263" w:type="pct"/>
                  <w:vMerge w:val="continue"/>
                  <w:vAlign w:val="center"/>
                </w:tcPr>
                <w:p>
                  <w:pPr>
                    <w:jc w:val="center"/>
                    <w:rPr>
                      <w:szCs w:val="21"/>
                    </w:rPr>
                  </w:pPr>
                </w:p>
              </w:tc>
            </w:tr>
          </w:tbl>
          <w:p>
            <w:pPr>
              <w:spacing w:line="360" w:lineRule="auto"/>
              <w:ind w:firstLine="482" w:firstLineChars="200"/>
              <w:rPr>
                <w:b/>
                <w:kern w:val="0"/>
                <w:sz w:val="24"/>
              </w:rPr>
            </w:pPr>
            <w:r>
              <w:rPr>
                <w:b/>
                <w:kern w:val="0"/>
                <w:sz w:val="24"/>
              </w:rPr>
              <w:t>4、公用工程</w:t>
            </w:r>
          </w:p>
          <w:p>
            <w:pPr>
              <w:spacing w:line="360" w:lineRule="auto"/>
              <w:ind w:firstLine="480" w:firstLineChars="200"/>
              <w:rPr>
                <w:sz w:val="24"/>
              </w:rPr>
            </w:pPr>
            <w:r>
              <w:rPr>
                <w:sz w:val="24"/>
              </w:rPr>
              <w:t>（1）给水</w:t>
            </w:r>
          </w:p>
          <w:p>
            <w:pPr>
              <w:pStyle w:val="13"/>
              <w:spacing w:line="360" w:lineRule="auto"/>
              <w:ind w:firstLine="488"/>
              <w:rPr>
                <w:rFonts w:ascii="Times New Roman" w:hAnsi="Times New Roman"/>
                <w:spacing w:val="2"/>
                <w:sz w:val="24"/>
              </w:rPr>
            </w:pPr>
            <w:r>
              <w:rPr>
                <w:rFonts w:ascii="Times New Roman" w:hAnsi="Times New Roman"/>
                <w:spacing w:val="2"/>
                <w:sz w:val="24"/>
              </w:rPr>
              <w:t>本项目供水依托市政自来水管网。根据建设单位提供的资料</w:t>
            </w:r>
            <w:r>
              <w:rPr>
                <w:rFonts w:ascii="Times New Roman" w:hAnsi="Times New Roman"/>
                <w:sz w:val="24"/>
              </w:rPr>
              <w:t>，本项目不设洗衣房</w:t>
            </w:r>
            <w:r>
              <w:rPr>
                <w:rFonts w:ascii="Times New Roman" w:hAnsi="Times New Roman"/>
                <w:spacing w:val="2"/>
                <w:sz w:val="24"/>
              </w:rPr>
              <w:t>，</w:t>
            </w:r>
            <w:r>
              <w:rPr>
                <w:rFonts w:hint="eastAsia" w:ascii="Times New Roman" w:hAnsi="Times New Roman"/>
                <w:spacing w:val="2"/>
                <w:sz w:val="24"/>
              </w:rPr>
              <w:t>病服外委清洗。</w:t>
            </w:r>
            <w:r>
              <w:rPr>
                <w:rFonts w:ascii="Times New Roman" w:hAnsi="Times New Roman"/>
                <w:spacing w:val="2"/>
                <w:sz w:val="24"/>
              </w:rPr>
              <w:t>项目</w:t>
            </w:r>
            <w:r>
              <w:rPr>
                <w:rFonts w:ascii="Times New Roman" w:hAnsi="Times New Roman"/>
                <w:sz w:val="24"/>
              </w:rPr>
              <w:t>用水主要为生活用水、医疗用水</w:t>
            </w:r>
            <w:r>
              <w:rPr>
                <w:rFonts w:hint="eastAsia" w:ascii="Times New Roman" w:hAnsi="Times New Roman"/>
                <w:sz w:val="24"/>
              </w:rPr>
              <w:t>、食堂用水、锅炉补给用水和绿化用水。</w:t>
            </w:r>
          </w:p>
          <w:p>
            <w:pPr>
              <w:spacing w:line="360" w:lineRule="auto"/>
              <w:ind w:firstLine="480" w:firstLineChars="200"/>
              <w:rPr>
                <w:sz w:val="24"/>
              </w:rPr>
            </w:pPr>
            <w:r>
              <w:rPr>
                <w:rFonts w:hint="eastAsia" w:ascii="宋体" w:hAnsi="宋体"/>
                <w:sz w:val="24"/>
              </w:rPr>
              <w:t>①</w:t>
            </w:r>
            <w:r>
              <w:rPr>
                <w:sz w:val="24"/>
              </w:rPr>
              <w:t>生活用水</w:t>
            </w:r>
          </w:p>
          <w:p>
            <w:pPr>
              <w:spacing w:line="360" w:lineRule="auto"/>
              <w:ind w:firstLine="480" w:firstLineChars="200"/>
              <w:rPr>
                <w:sz w:val="24"/>
              </w:rPr>
            </w:pPr>
            <w:r>
              <w:rPr>
                <w:sz w:val="24"/>
              </w:rPr>
              <w:t>项目</w:t>
            </w:r>
            <w:r>
              <w:rPr>
                <w:rFonts w:hint="eastAsia"/>
                <w:sz w:val="24"/>
              </w:rPr>
              <w:t>医护及工作定员50</w:t>
            </w:r>
            <w:r>
              <w:rPr>
                <w:sz w:val="24"/>
              </w:rPr>
              <w:t>人，根据《陕西省行业用水定额》（DB61/T943-2020），</w:t>
            </w:r>
            <w:r>
              <w:rPr>
                <w:rFonts w:hint="eastAsia"/>
                <w:sz w:val="24"/>
              </w:rPr>
              <w:t>医院职工用水</w:t>
            </w:r>
            <w:r>
              <w:rPr>
                <w:sz w:val="24"/>
              </w:rPr>
              <w:t>定额取120L/人·d计，则项目</w:t>
            </w:r>
            <w:r>
              <w:rPr>
                <w:rFonts w:hint="eastAsia"/>
                <w:sz w:val="24"/>
              </w:rPr>
              <w:t>医院职工</w:t>
            </w:r>
            <w:r>
              <w:rPr>
                <w:sz w:val="24"/>
              </w:rPr>
              <w:t>用水量为</w:t>
            </w:r>
            <w:r>
              <w:rPr>
                <w:rFonts w:hint="eastAsia"/>
                <w:sz w:val="24"/>
              </w:rPr>
              <w:t>6.0</w:t>
            </w:r>
            <w:r>
              <w:rPr>
                <w:sz w:val="24"/>
              </w:rPr>
              <w:t>m</w:t>
            </w:r>
            <w:r>
              <w:rPr>
                <w:sz w:val="24"/>
                <w:vertAlign w:val="superscript"/>
              </w:rPr>
              <w:t>3</w:t>
            </w:r>
            <w:r>
              <w:rPr>
                <w:sz w:val="24"/>
              </w:rPr>
              <w:t>/d、</w:t>
            </w:r>
            <w:r>
              <w:rPr>
                <w:rFonts w:hint="eastAsia"/>
                <w:sz w:val="24"/>
              </w:rPr>
              <w:t>2190</w:t>
            </w:r>
            <w:r>
              <w:rPr>
                <w:sz w:val="24"/>
              </w:rPr>
              <w:t>m</w:t>
            </w:r>
            <w:r>
              <w:rPr>
                <w:sz w:val="24"/>
                <w:vertAlign w:val="superscript"/>
              </w:rPr>
              <w:t>3</w:t>
            </w:r>
            <w:r>
              <w:rPr>
                <w:sz w:val="24"/>
              </w:rPr>
              <w:t>/a。</w:t>
            </w:r>
          </w:p>
          <w:p>
            <w:pPr>
              <w:spacing w:line="360" w:lineRule="auto"/>
              <w:ind w:firstLine="480" w:firstLineChars="200"/>
              <w:rPr>
                <w:sz w:val="24"/>
              </w:rPr>
            </w:pPr>
            <w:r>
              <w:rPr>
                <w:rFonts w:hint="eastAsia" w:ascii="宋体" w:hAnsi="宋体"/>
                <w:sz w:val="24"/>
              </w:rPr>
              <w:t>②</w:t>
            </w:r>
            <w:r>
              <w:rPr>
                <w:sz w:val="24"/>
              </w:rPr>
              <w:t>医疗用水</w:t>
            </w:r>
          </w:p>
          <w:p>
            <w:pPr>
              <w:spacing w:line="360" w:lineRule="auto"/>
              <w:ind w:firstLine="480" w:firstLineChars="200"/>
              <w:rPr>
                <w:sz w:val="24"/>
              </w:rPr>
            </w:pPr>
            <w:r>
              <w:rPr>
                <w:sz w:val="24"/>
              </w:rPr>
              <w:t>医疗用水主要包括门诊用水、检验用水、床位用水。</w:t>
            </w:r>
          </w:p>
          <w:p>
            <w:pPr>
              <w:spacing w:line="360" w:lineRule="auto"/>
              <w:ind w:firstLine="480" w:firstLineChars="200"/>
              <w:rPr>
                <w:sz w:val="24"/>
              </w:rPr>
            </w:pPr>
            <w:r>
              <w:rPr>
                <w:sz w:val="24"/>
              </w:rPr>
              <w:t>床位用水：本项目设有病床216张</w:t>
            </w:r>
            <w:r>
              <w:rPr>
                <w:rFonts w:hint="eastAsia"/>
                <w:sz w:val="24"/>
              </w:rPr>
              <w:t>，设有单独卫生间及淋浴</w:t>
            </w:r>
            <w:r>
              <w:rPr>
                <w:sz w:val="24"/>
              </w:rPr>
              <w:t>。根据《陕西省行业用水定额》（DB61/T943-2020），设</w:t>
            </w:r>
            <w:r>
              <w:rPr>
                <w:rFonts w:hint="eastAsia"/>
                <w:sz w:val="24"/>
              </w:rPr>
              <w:t>单独卫生间</w:t>
            </w:r>
            <w:r>
              <w:rPr>
                <w:sz w:val="24"/>
              </w:rPr>
              <w:t>的医院用水定额先进值为</w:t>
            </w:r>
            <w:r>
              <w:rPr>
                <w:rFonts w:hint="eastAsia"/>
                <w:sz w:val="24"/>
              </w:rPr>
              <w:t>220</w:t>
            </w:r>
            <w:r>
              <w:rPr>
                <w:sz w:val="24"/>
              </w:rPr>
              <w:t>L/床·d，则床位用水量为</w:t>
            </w:r>
            <w:r>
              <w:rPr>
                <w:rFonts w:hint="eastAsia"/>
                <w:sz w:val="24"/>
              </w:rPr>
              <w:t>47.5</w:t>
            </w:r>
            <w:r>
              <w:rPr>
                <w:sz w:val="24"/>
              </w:rPr>
              <w:t>m</w:t>
            </w:r>
            <w:r>
              <w:rPr>
                <w:sz w:val="24"/>
                <w:vertAlign w:val="superscript"/>
              </w:rPr>
              <w:t>3</w:t>
            </w:r>
            <w:r>
              <w:rPr>
                <w:sz w:val="24"/>
              </w:rPr>
              <w:t>/d，</w:t>
            </w:r>
            <w:r>
              <w:rPr>
                <w:rFonts w:hint="eastAsia"/>
                <w:sz w:val="24"/>
              </w:rPr>
              <w:t>17344.8</w:t>
            </w:r>
            <w:r>
              <w:rPr>
                <w:sz w:val="24"/>
              </w:rPr>
              <w:t>m</w:t>
            </w:r>
            <w:r>
              <w:rPr>
                <w:sz w:val="24"/>
                <w:vertAlign w:val="superscript"/>
              </w:rPr>
              <w:t>3</w:t>
            </w:r>
            <w:r>
              <w:rPr>
                <w:sz w:val="24"/>
              </w:rPr>
              <w:t>/a。</w:t>
            </w:r>
          </w:p>
          <w:p>
            <w:pPr>
              <w:spacing w:line="360" w:lineRule="auto"/>
              <w:ind w:firstLine="480" w:firstLineChars="200"/>
              <w:rPr>
                <w:sz w:val="24"/>
              </w:rPr>
            </w:pPr>
            <w:r>
              <w:rPr>
                <w:sz w:val="24"/>
              </w:rPr>
              <w:t>门诊用水：门诊量预计为每日</w:t>
            </w:r>
            <w:r>
              <w:rPr>
                <w:rFonts w:hint="eastAsia"/>
                <w:sz w:val="24"/>
              </w:rPr>
              <w:t>80</w:t>
            </w:r>
            <w:r>
              <w:rPr>
                <w:sz w:val="24"/>
              </w:rPr>
              <w:t>人次，根据《陕西省行业用水定额》（DB61/T943-2020），门诊用水定额按1</w:t>
            </w:r>
            <w:r>
              <w:rPr>
                <w:rFonts w:hint="eastAsia"/>
                <w:sz w:val="24"/>
              </w:rPr>
              <w:t>1</w:t>
            </w:r>
            <w:r>
              <w:rPr>
                <w:sz w:val="24"/>
              </w:rPr>
              <w:t>L/人·次计算，则本项目门诊用水量为0.</w:t>
            </w:r>
            <w:r>
              <w:rPr>
                <w:rFonts w:hint="eastAsia"/>
                <w:sz w:val="24"/>
              </w:rPr>
              <w:t>88</w:t>
            </w:r>
            <w:r>
              <w:rPr>
                <w:sz w:val="24"/>
              </w:rPr>
              <w:t>m</w:t>
            </w:r>
            <w:r>
              <w:rPr>
                <w:sz w:val="24"/>
                <w:vertAlign w:val="superscript"/>
              </w:rPr>
              <w:t>3</w:t>
            </w:r>
            <w:r>
              <w:rPr>
                <w:sz w:val="24"/>
              </w:rPr>
              <w:t>/d、</w:t>
            </w:r>
            <w:r>
              <w:rPr>
                <w:rFonts w:hint="eastAsia"/>
                <w:sz w:val="24"/>
              </w:rPr>
              <w:t>321</w:t>
            </w:r>
            <w:r>
              <w:rPr>
                <w:sz w:val="24"/>
              </w:rPr>
              <w:t>.</w:t>
            </w:r>
            <w:r>
              <w:rPr>
                <w:rFonts w:hint="eastAsia"/>
                <w:sz w:val="24"/>
              </w:rPr>
              <w:t>2</w:t>
            </w:r>
            <w:r>
              <w:rPr>
                <w:sz w:val="24"/>
              </w:rPr>
              <w:t>m</w:t>
            </w:r>
            <w:r>
              <w:rPr>
                <w:sz w:val="24"/>
                <w:vertAlign w:val="superscript"/>
              </w:rPr>
              <w:t>3</w:t>
            </w:r>
            <w:r>
              <w:rPr>
                <w:sz w:val="24"/>
              </w:rPr>
              <w:t>/a。</w:t>
            </w:r>
          </w:p>
          <w:p>
            <w:pPr>
              <w:spacing w:line="360" w:lineRule="auto"/>
              <w:ind w:firstLine="480" w:firstLineChars="200"/>
              <w:rPr>
                <w:sz w:val="24"/>
              </w:rPr>
            </w:pPr>
            <w:r>
              <w:rPr>
                <w:sz w:val="24"/>
              </w:rPr>
              <w:t>检验用水：化验采用成品试剂盒作为检验试剂，不需要现场调配，试剂盒直接进入仪器检验，检验完毕后，检验标本和试剂盒一同作为医疗废物收集、暂存和处理。检验过程中会使用少量的纯水，检验结束后需要进行冲洗，根据企业提供数据，纯水使用量</w:t>
            </w:r>
            <w:r>
              <w:rPr>
                <w:rFonts w:hint="eastAsia"/>
                <w:sz w:val="24"/>
              </w:rPr>
              <w:t>平均</w:t>
            </w:r>
            <w:r>
              <w:rPr>
                <w:sz w:val="24"/>
              </w:rPr>
              <w:t>为0.0</w:t>
            </w:r>
            <w:r>
              <w:rPr>
                <w:rFonts w:hint="eastAsia"/>
                <w:sz w:val="24"/>
              </w:rPr>
              <w:t>1</w:t>
            </w:r>
            <w:r>
              <w:rPr>
                <w:sz w:val="24"/>
              </w:rPr>
              <w:t>m</w:t>
            </w:r>
            <w:r>
              <w:rPr>
                <w:sz w:val="24"/>
                <w:vertAlign w:val="superscript"/>
              </w:rPr>
              <w:t>3</w:t>
            </w:r>
            <w:r>
              <w:rPr>
                <w:sz w:val="24"/>
              </w:rPr>
              <w:t>/d、</w:t>
            </w:r>
            <w:r>
              <w:rPr>
                <w:rFonts w:hint="eastAsia"/>
                <w:sz w:val="24"/>
              </w:rPr>
              <w:t>3.65</w:t>
            </w:r>
            <w:r>
              <w:rPr>
                <w:sz w:val="24"/>
              </w:rPr>
              <w:t>m</w:t>
            </w:r>
            <w:r>
              <w:rPr>
                <w:sz w:val="24"/>
                <w:vertAlign w:val="superscript"/>
              </w:rPr>
              <w:t>3</w:t>
            </w:r>
            <w:r>
              <w:rPr>
                <w:sz w:val="24"/>
              </w:rPr>
              <w:t>/a。本项目</w:t>
            </w:r>
            <w:r>
              <w:rPr>
                <w:rFonts w:hint="eastAsia"/>
                <w:sz w:val="24"/>
              </w:rPr>
              <w:t>采用离子交换法制取纯水，制水率按</w:t>
            </w:r>
            <w:r>
              <w:rPr>
                <w:sz w:val="24"/>
              </w:rPr>
              <w:t>9</w:t>
            </w:r>
            <w:r>
              <w:rPr>
                <w:rFonts w:hint="eastAsia"/>
                <w:sz w:val="24"/>
              </w:rPr>
              <w:t>0%计，制水用</w:t>
            </w:r>
            <w:r>
              <w:rPr>
                <w:sz w:val="24"/>
              </w:rPr>
              <w:t>水量为4.06m</w:t>
            </w:r>
            <w:r>
              <w:rPr>
                <w:sz w:val="24"/>
                <w:vertAlign w:val="superscript"/>
              </w:rPr>
              <w:t>3</w:t>
            </w:r>
            <w:r>
              <w:rPr>
                <w:sz w:val="24"/>
              </w:rPr>
              <w:t>/a。本项目纯水设备由厂家定期检修、更换滤芯，厂家直接收集带走。检验废水作为医疗废物收集委托有资质单位处置。</w:t>
            </w:r>
          </w:p>
          <w:p>
            <w:pPr>
              <w:spacing w:line="360" w:lineRule="auto"/>
              <w:ind w:firstLine="480" w:firstLineChars="200"/>
              <w:rPr>
                <w:sz w:val="24"/>
              </w:rPr>
            </w:pPr>
            <w:r>
              <w:rPr>
                <w:rFonts w:hint="eastAsia" w:ascii="宋体" w:hAnsi="宋体"/>
                <w:sz w:val="24"/>
              </w:rPr>
              <w:t>③</w:t>
            </w:r>
            <w:r>
              <w:rPr>
                <w:rFonts w:hint="eastAsia"/>
                <w:sz w:val="24"/>
              </w:rPr>
              <w:t>食堂用水</w:t>
            </w:r>
          </w:p>
          <w:p>
            <w:pPr>
              <w:spacing w:line="360" w:lineRule="auto"/>
              <w:ind w:firstLine="480" w:firstLineChars="200"/>
              <w:jc w:val="left"/>
              <w:rPr>
                <w:sz w:val="24"/>
              </w:rPr>
            </w:pPr>
            <w:r>
              <w:rPr>
                <w:rFonts w:hint="eastAsia"/>
                <w:sz w:val="24"/>
              </w:rPr>
              <w:t>项目新建食堂，根据建设单位提供的相关资料，本项目最大就餐人数180人/d计，依据《陕西省行业用水定额》（DB61/T943-2020）中相关规定，就餐用水按</w:t>
            </w:r>
            <w:r>
              <w:rPr>
                <w:sz w:val="24"/>
              </w:rPr>
              <w:t>16</w:t>
            </w:r>
            <w:r>
              <w:rPr>
                <w:rFonts w:hint="eastAsia"/>
                <w:sz w:val="24"/>
              </w:rPr>
              <w:t>L/人·次（先进值），则就餐最高日用水量为</w:t>
            </w:r>
            <w:r>
              <w:rPr>
                <w:sz w:val="24"/>
              </w:rPr>
              <w:t>2.88</w:t>
            </w:r>
            <w:r>
              <w:rPr>
                <w:rFonts w:hint="eastAsia"/>
                <w:sz w:val="24"/>
              </w:rPr>
              <w:t>m</w:t>
            </w:r>
            <w:r>
              <w:rPr>
                <w:rFonts w:hint="eastAsia"/>
                <w:sz w:val="24"/>
                <w:vertAlign w:val="superscript"/>
              </w:rPr>
              <w:t>3</w:t>
            </w:r>
            <w:r>
              <w:rPr>
                <w:rFonts w:hint="eastAsia"/>
                <w:sz w:val="24"/>
              </w:rPr>
              <w:t>/d（</w:t>
            </w:r>
            <w:r>
              <w:rPr>
                <w:sz w:val="24"/>
              </w:rPr>
              <w:t>1051.2</w:t>
            </w:r>
            <w:r>
              <w:rPr>
                <w:rFonts w:hint="eastAsia"/>
                <w:sz w:val="24"/>
              </w:rPr>
              <w:t>m</w:t>
            </w:r>
            <w:r>
              <w:rPr>
                <w:rFonts w:hint="eastAsia"/>
                <w:sz w:val="24"/>
                <w:vertAlign w:val="superscript"/>
              </w:rPr>
              <w:t>3</w:t>
            </w:r>
            <w:r>
              <w:rPr>
                <w:rFonts w:hint="eastAsia"/>
                <w:sz w:val="24"/>
              </w:rPr>
              <w:t>/a）。</w:t>
            </w:r>
          </w:p>
          <w:p>
            <w:pPr>
              <w:spacing w:line="360" w:lineRule="auto"/>
              <w:ind w:firstLine="480" w:firstLineChars="200"/>
              <w:jc w:val="left"/>
              <w:rPr>
                <w:sz w:val="24"/>
              </w:rPr>
            </w:pPr>
            <w:r>
              <w:rPr>
                <w:rFonts w:hint="eastAsia" w:ascii="宋体" w:hAnsi="宋体"/>
                <w:sz w:val="24"/>
              </w:rPr>
              <w:t>④</w:t>
            </w:r>
            <w:r>
              <w:rPr>
                <w:rFonts w:hint="eastAsia"/>
                <w:sz w:val="24"/>
              </w:rPr>
              <w:t>锅炉补给水</w:t>
            </w:r>
          </w:p>
          <w:p>
            <w:pPr>
              <w:spacing w:line="360" w:lineRule="auto"/>
              <w:ind w:firstLine="480" w:firstLineChars="200"/>
              <w:rPr>
                <w:sz w:val="24"/>
              </w:rPr>
            </w:pPr>
            <w:r>
              <w:rPr>
                <w:rFonts w:hint="eastAsia"/>
                <w:sz w:val="24"/>
              </w:rPr>
              <w:t>本项目设置1台2</w:t>
            </w:r>
            <w:r>
              <w:rPr>
                <w:sz w:val="24"/>
              </w:rPr>
              <w:t>t/h</w:t>
            </w:r>
            <w:r>
              <w:rPr>
                <w:rFonts w:hint="eastAsia"/>
                <w:sz w:val="24"/>
              </w:rPr>
              <w:t>燃气锅炉主要作用冬季采暖（供暖锅炉年运行1</w:t>
            </w:r>
            <w:r>
              <w:rPr>
                <w:sz w:val="24"/>
              </w:rPr>
              <w:t>52d</w:t>
            </w:r>
            <w:r>
              <w:rPr>
                <w:rFonts w:hint="eastAsia"/>
                <w:sz w:val="24"/>
              </w:rPr>
              <w:t>，每天</w:t>
            </w:r>
            <w:r>
              <w:rPr>
                <w:sz w:val="24"/>
              </w:rPr>
              <w:t>24h</w:t>
            </w:r>
            <w:r>
              <w:rPr>
                <w:rFonts w:hint="eastAsia"/>
                <w:sz w:val="24"/>
              </w:rPr>
              <w:t>）。</w:t>
            </w:r>
          </w:p>
          <w:p>
            <w:pPr>
              <w:spacing w:line="360" w:lineRule="auto"/>
              <w:ind w:firstLine="480" w:firstLineChars="200"/>
              <w:rPr>
                <w:sz w:val="24"/>
              </w:rPr>
            </w:pPr>
            <w:r>
              <w:rPr>
                <w:rFonts w:hint="eastAsia"/>
                <w:sz w:val="24"/>
              </w:rPr>
              <w:t>类比同类项目，</w:t>
            </w:r>
            <w:r>
              <w:rPr>
                <w:sz w:val="24"/>
              </w:rPr>
              <w:t>锅炉1t/h循环水量为24m</w:t>
            </w:r>
            <w:r>
              <w:rPr>
                <w:sz w:val="24"/>
                <w:vertAlign w:val="superscript"/>
              </w:rPr>
              <w:t>3</w:t>
            </w:r>
            <w:r>
              <w:rPr>
                <w:sz w:val="24"/>
              </w:rPr>
              <w:t>/</w:t>
            </w:r>
            <w:r>
              <w:rPr>
                <w:rFonts w:hint="eastAsia"/>
                <w:sz w:val="24"/>
              </w:rPr>
              <w:t>d</w:t>
            </w:r>
            <w:r>
              <w:rPr>
                <w:sz w:val="24"/>
              </w:rPr>
              <w:t>，则本项目供暖锅炉日循环水量为48m</w:t>
            </w:r>
            <w:r>
              <w:rPr>
                <w:sz w:val="24"/>
                <w:vertAlign w:val="superscript"/>
              </w:rPr>
              <w:t>3</w:t>
            </w:r>
            <w:r>
              <w:rPr>
                <w:sz w:val="24"/>
              </w:rPr>
              <w:t>/</w:t>
            </w:r>
            <w:r>
              <w:rPr>
                <w:rFonts w:hint="eastAsia"/>
                <w:sz w:val="24"/>
              </w:rPr>
              <w:t>d</w:t>
            </w:r>
            <w:r>
              <w:rPr>
                <w:sz w:val="24"/>
              </w:rPr>
              <w:t>（7296m</w:t>
            </w:r>
            <w:r>
              <w:rPr>
                <w:sz w:val="24"/>
                <w:vertAlign w:val="superscript"/>
              </w:rPr>
              <w:t>3</w:t>
            </w:r>
            <w:r>
              <w:rPr>
                <w:sz w:val="24"/>
              </w:rPr>
              <w:t>/a），补充水量</w:t>
            </w:r>
            <w:r>
              <w:rPr>
                <w:rFonts w:hint="eastAsia"/>
                <w:sz w:val="24"/>
              </w:rPr>
              <w:t>（循环系统损失水量和锅炉排污水）</w:t>
            </w:r>
            <w:r>
              <w:rPr>
                <w:sz w:val="24"/>
              </w:rPr>
              <w:t>按照循环水量的3%计算，则锅炉补充水量1.44m</w:t>
            </w:r>
            <w:r>
              <w:rPr>
                <w:sz w:val="24"/>
                <w:vertAlign w:val="superscript"/>
              </w:rPr>
              <w:t>3</w:t>
            </w:r>
            <w:r>
              <w:rPr>
                <w:sz w:val="24"/>
              </w:rPr>
              <w:t>/d（218.88m</w:t>
            </w:r>
            <w:r>
              <w:rPr>
                <w:sz w:val="24"/>
                <w:vertAlign w:val="superscript"/>
              </w:rPr>
              <w:t>3</w:t>
            </w:r>
            <w:r>
              <w:rPr>
                <w:sz w:val="24"/>
              </w:rPr>
              <w:t>/a）</w:t>
            </w:r>
            <w:r>
              <w:rPr>
                <w:rFonts w:hint="eastAsia"/>
                <w:sz w:val="24"/>
              </w:rPr>
              <w:t>。</w:t>
            </w:r>
            <w:r>
              <w:rPr>
                <w:sz w:val="24"/>
              </w:rPr>
              <w:t xml:space="preserve"> </w:t>
            </w:r>
          </w:p>
          <w:p>
            <w:pPr>
              <w:spacing w:line="360" w:lineRule="auto"/>
              <w:ind w:firstLine="480" w:firstLineChars="200"/>
              <w:rPr>
                <w:sz w:val="24"/>
              </w:rPr>
            </w:pPr>
            <w:r>
              <w:rPr>
                <w:sz w:val="24"/>
              </w:rPr>
              <w:t>本项目</w:t>
            </w:r>
            <w:r>
              <w:rPr>
                <w:rFonts w:hint="eastAsia"/>
                <w:sz w:val="24"/>
              </w:rPr>
              <w:t>采用离子交换法制取纯水，制水率按</w:t>
            </w:r>
            <w:r>
              <w:rPr>
                <w:sz w:val="24"/>
              </w:rPr>
              <w:t>9</w:t>
            </w:r>
            <w:r>
              <w:rPr>
                <w:rFonts w:hint="eastAsia"/>
                <w:sz w:val="24"/>
              </w:rPr>
              <w:t>0%计，则锅炉用新鲜水量为</w:t>
            </w:r>
            <w:r>
              <w:rPr>
                <w:sz w:val="24"/>
              </w:rPr>
              <w:t>1.6m</w:t>
            </w:r>
            <w:r>
              <w:rPr>
                <w:sz w:val="24"/>
                <w:vertAlign w:val="superscript"/>
              </w:rPr>
              <w:t>3</w:t>
            </w:r>
            <w:r>
              <w:rPr>
                <w:sz w:val="24"/>
              </w:rPr>
              <w:t>/d</w:t>
            </w:r>
            <w:r>
              <w:rPr>
                <w:rFonts w:hint="eastAsia"/>
                <w:sz w:val="24"/>
              </w:rPr>
              <w:t>（2</w:t>
            </w:r>
            <w:r>
              <w:rPr>
                <w:sz w:val="24"/>
              </w:rPr>
              <w:t>43.2m</w:t>
            </w:r>
            <w:r>
              <w:rPr>
                <w:sz w:val="24"/>
                <w:vertAlign w:val="superscript"/>
              </w:rPr>
              <w:t>3</w:t>
            </w:r>
            <w:r>
              <w:rPr>
                <w:sz w:val="24"/>
              </w:rPr>
              <w:t>/a</w:t>
            </w:r>
            <w:r>
              <w:rPr>
                <w:rFonts w:hint="eastAsia"/>
                <w:sz w:val="24"/>
              </w:rPr>
              <w:t>）。</w:t>
            </w:r>
          </w:p>
          <w:p>
            <w:pPr>
              <w:spacing w:line="360" w:lineRule="auto"/>
              <w:ind w:firstLine="480" w:firstLineChars="200"/>
              <w:rPr>
                <w:sz w:val="24"/>
              </w:rPr>
            </w:pPr>
            <w:r>
              <w:rPr>
                <w:rFonts w:hint="eastAsia" w:ascii="宋体" w:hAnsi="宋体"/>
                <w:sz w:val="24"/>
              </w:rPr>
              <w:t>⑤</w:t>
            </w:r>
            <w:r>
              <w:rPr>
                <w:sz w:val="24"/>
              </w:rPr>
              <w:t>绿化用水</w:t>
            </w:r>
          </w:p>
          <w:p>
            <w:pPr>
              <w:spacing w:line="360" w:lineRule="auto"/>
              <w:ind w:firstLine="480" w:firstLineChars="200"/>
              <w:jc w:val="left"/>
              <w:rPr>
                <w:sz w:val="24"/>
              </w:rPr>
            </w:pPr>
            <w:r>
              <w:rPr>
                <w:sz w:val="24"/>
              </w:rPr>
              <w:t>根据《陕西省行业用水定额》（DB61/T943-2020），绿化用水按2L/m</w:t>
            </w:r>
            <w:r>
              <w:rPr>
                <w:sz w:val="24"/>
                <w:vertAlign w:val="superscript"/>
              </w:rPr>
              <w:t>2</w:t>
            </w:r>
            <w:r>
              <w:rPr>
                <w:sz w:val="24"/>
              </w:rPr>
              <w:t>·d计，本项目绿化面积1290.69m</w:t>
            </w:r>
            <w:r>
              <w:rPr>
                <w:sz w:val="24"/>
                <w:vertAlign w:val="superscript"/>
              </w:rPr>
              <w:t>2</w:t>
            </w:r>
            <w:r>
              <w:rPr>
                <w:sz w:val="24"/>
              </w:rPr>
              <w:t>，则绿化用水量为2.58m</w:t>
            </w:r>
            <w:r>
              <w:rPr>
                <w:sz w:val="24"/>
                <w:vertAlign w:val="superscript"/>
              </w:rPr>
              <w:t>3</w:t>
            </w:r>
            <w:r>
              <w:rPr>
                <w:sz w:val="24"/>
              </w:rPr>
              <w:t>/d，年浇灌100次，即258m</w:t>
            </w:r>
            <w:r>
              <w:rPr>
                <w:sz w:val="24"/>
                <w:vertAlign w:val="superscript"/>
              </w:rPr>
              <w:t>3</w:t>
            </w:r>
            <w:r>
              <w:rPr>
                <w:sz w:val="24"/>
              </w:rPr>
              <w:t>/a。</w:t>
            </w:r>
          </w:p>
          <w:p>
            <w:pPr>
              <w:spacing w:line="360" w:lineRule="auto"/>
              <w:ind w:firstLine="480" w:firstLineChars="200"/>
              <w:rPr>
                <w:sz w:val="24"/>
              </w:rPr>
            </w:pPr>
            <w:r>
              <w:rPr>
                <w:sz w:val="24"/>
              </w:rPr>
              <w:t>（</w:t>
            </w:r>
            <w:r>
              <w:rPr>
                <w:rFonts w:hint="eastAsia"/>
                <w:sz w:val="24"/>
              </w:rPr>
              <w:t>2</w:t>
            </w:r>
            <w:r>
              <w:rPr>
                <w:sz w:val="24"/>
              </w:rPr>
              <w:t>）</w:t>
            </w:r>
            <w:r>
              <w:rPr>
                <w:rFonts w:hint="eastAsia"/>
                <w:sz w:val="24"/>
              </w:rPr>
              <w:t>排</w:t>
            </w:r>
            <w:r>
              <w:rPr>
                <w:sz w:val="24"/>
              </w:rPr>
              <w:t>水</w:t>
            </w:r>
          </w:p>
          <w:p>
            <w:pPr>
              <w:spacing w:line="360" w:lineRule="auto"/>
              <w:ind w:firstLine="480" w:firstLineChars="200"/>
              <w:rPr>
                <w:sz w:val="24"/>
              </w:rPr>
            </w:pPr>
            <w:r>
              <w:rPr>
                <w:rFonts w:hint="eastAsia"/>
                <w:sz w:val="24"/>
              </w:rPr>
              <w:t>根据医院提供的相关资料可知，项目运营期采用电脑洗相，不使用显影液、定影液等溶剂，因此不产生放射性废水；项目检验采用试剂盒进行血、尿等化验，不采用手工配置含氰、铬、酸试剂的方法化验，使用后的检验样品、试剂合等均作为医疗废物处置，不产生含氰、含铬等废水；口腔科补牙材料为树脂类，不采用银汞合金，无含汞废水产生。因此，项目运营期废水</w:t>
            </w:r>
            <w:r>
              <w:rPr>
                <w:sz w:val="24"/>
              </w:rPr>
              <w:t>主要为生活</w:t>
            </w:r>
            <w:r>
              <w:rPr>
                <w:rFonts w:hint="eastAsia"/>
                <w:sz w:val="24"/>
              </w:rPr>
              <w:t>污水、医疗废水、食堂废水、纯水制备设备浓水和锅炉排水。</w:t>
            </w:r>
          </w:p>
          <w:p>
            <w:pPr>
              <w:spacing w:line="360" w:lineRule="auto"/>
              <w:ind w:firstLine="480" w:firstLineChars="200"/>
              <w:rPr>
                <w:sz w:val="24"/>
              </w:rPr>
            </w:pPr>
            <w:r>
              <w:rPr>
                <w:rFonts w:hint="eastAsia" w:ascii="宋体" w:hAnsi="宋体" w:cs="宋体"/>
                <w:sz w:val="24"/>
              </w:rPr>
              <w:t>①</w:t>
            </w:r>
            <w:r>
              <w:rPr>
                <w:sz w:val="24"/>
              </w:rPr>
              <w:t>生活污水</w:t>
            </w:r>
          </w:p>
          <w:p>
            <w:pPr>
              <w:spacing w:line="360" w:lineRule="auto"/>
              <w:ind w:firstLine="480" w:firstLineChars="200"/>
              <w:rPr>
                <w:sz w:val="24"/>
              </w:rPr>
            </w:pPr>
            <w:r>
              <w:rPr>
                <w:sz w:val="24"/>
              </w:rPr>
              <w:t>废水的排污系数按80%计，则生活废水产生量为1752m</w:t>
            </w:r>
            <w:r>
              <w:rPr>
                <w:sz w:val="24"/>
                <w:vertAlign w:val="superscript"/>
              </w:rPr>
              <w:t>3</w:t>
            </w:r>
            <w:r>
              <w:rPr>
                <w:sz w:val="24"/>
              </w:rPr>
              <w:t>/a。</w:t>
            </w:r>
          </w:p>
          <w:p>
            <w:pPr>
              <w:spacing w:line="360" w:lineRule="auto"/>
              <w:ind w:firstLine="480" w:firstLineChars="200"/>
              <w:rPr>
                <w:sz w:val="24"/>
              </w:rPr>
            </w:pPr>
            <w:r>
              <w:rPr>
                <w:rFonts w:hint="eastAsia" w:ascii="宋体" w:hAnsi="宋体" w:cs="宋体"/>
                <w:sz w:val="24"/>
              </w:rPr>
              <w:t>②</w:t>
            </w:r>
            <w:r>
              <w:rPr>
                <w:sz w:val="24"/>
              </w:rPr>
              <w:t>医疗废水</w:t>
            </w:r>
          </w:p>
          <w:p>
            <w:pPr>
              <w:spacing w:line="360" w:lineRule="auto"/>
              <w:ind w:firstLine="480" w:firstLineChars="200"/>
              <w:rPr>
                <w:sz w:val="24"/>
              </w:rPr>
            </w:pPr>
            <w:r>
              <w:rPr>
                <w:sz w:val="24"/>
              </w:rPr>
              <w:t>废水的排污系数按80%计，则医疗废水产生量为14132.8 m</w:t>
            </w:r>
            <w:r>
              <w:rPr>
                <w:sz w:val="24"/>
                <w:vertAlign w:val="superscript"/>
              </w:rPr>
              <w:t>3</w:t>
            </w:r>
            <w:r>
              <w:rPr>
                <w:sz w:val="24"/>
              </w:rPr>
              <w:t>/a。</w:t>
            </w:r>
          </w:p>
          <w:p>
            <w:pPr>
              <w:spacing w:line="360" w:lineRule="auto"/>
              <w:ind w:firstLine="480" w:firstLineChars="200"/>
              <w:rPr>
                <w:sz w:val="24"/>
              </w:rPr>
            </w:pPr>
            <w:r>
              <w:rPr>
                <w:rFonts w:hint="eastAsia" w:ascii="宋体" w:hAnsi="宋体" w:cs="宋体"/>
                <w:sz w:val="24"/>
              </w:rPr>
              <w:t>③</w:t>
            </w:r>
            <w:r>
              <w:rPr>
                <w:sz w:val="24"/>
              </w:rPr>
              <w:t>食堂废水</w:t>
            </w:r>
          </w:p>
          <w:p>
            <w:pPr>
              <w:spacing w:line="360" w:lineRule="auto"/>
              <w:ind w:firstLine="480" w:firstLineChars="200"/>
              <w:rPr>
                <w:sz w:val="24"/>
              </w:rPr>
            </w:pPr>
            <w:r>
              <w:rPr>
                <w:sz w:val="24"/>
              </w:rPr>
              <w:t>废水的排污系数按80%计，则食堂废水产生量为840.96 m</w:t>
            </w:r>
            <w:r>
              <w:rPr>
                <w:sz w:val="24"/>
                <w:vertAlign w:val="superscript"/>
              </w:rPr>
              <w:t>3</w:t>
            </w:r>
            <w:r>
              <w:rPr>
                <w:sz w:val="24"/>
              </w:rPr>
              <w:t>/a。</w:t>
            </w:r>
          </w:p>
          <w:p>
            <w:pPr>
              <w:spacing w:line="360" w:lineRule="auto"/>
              <w:ind w:firstLine="480" w:firstLineChars="200"/>
              <w:rPr>
                <w:sz w:val="24"/>
              </w:rPr>
            </w:pPr>
            <w:r>
              <w:rPr>
                <w:rFonts w:hint="eastAsia" w:ascii="宋体" w:hAnsi="宋体"/>
                <w:sz w:val="24"/>
              </w:rPr>
              <w:t>④</w:t>
            </w:r>
            <w:r>
              <w:rPr>
                <w:rFonts w:hint="eastAsia"/>
                <w:sz w:val="24"/>
              </w:rPr>
              <w:t>锅炉排污水</w:t>
            </w:r>
          </w:p>
          <w:p>
            <w:pPr>
              <w:spacing w:line="360" w:lineRule="auto"/>
              <w:ind w:firstLine="480" w:firstLineChars="200"/>
              <w:rPr>
                <w:sz w:val="24"/>
              </w:rPr>
            </w:pPr>
            <w:r>
              <w:rPr>
                <w:rFonts w:hint="eastAsia"/>
                <w:sz w:val="24"/>
              </w:rPr>
              <w:t>根据设计单位提供的资料，锅炉定期排污频次为</w:t>
            </w:r>
            <w:r>
              <w:rPr>
                <w:sz w:val="24"/>
              </w:rPr>
              <w:t>1</w:t>
            </w:r>
            <w:r>
              <w:rPr>
                <w:rFonts w:hint="eastAsia"/>
                <w:sz w:val="24"/>
              </w:rPr>
              <w:t>月</w:t>
            </w:r>
            <w:r>
              <w:rPr>
                <w:sz w:val="24"/>
              </w:rPr>
              <w:t>1</w:t>
            </w:r>
            <w:r>
              <w:rPr>
                <w:rFonts w:hint="eastAsia"/>
                <w:sz w:val="24"/>
              </w:rPr>
              <w:t>次，每次排污水为</w:t>
            </w:r>
            <w:r>
              <w:rPr>
                <w:sz w:val="24"/>
              </w:rPr>
              <w:t>5m</w:t>
            </w:r>
            <w:r>
              <w:rPr>
                <w:sz w:val="24"/>
                <w:vertAlign w:val="superscript"/>
              </w:rPr>
              <w:t>3</w:t>
            </w:r>
            <w:r>
              <w:rPr>
                <w:rFonts w:hint="eastAsia"/>
                <w:sz w:val="24"/>
              </w:rPr>
              <w:t>，则全年排污水量为</w:t>
            </w:r>
            <w:r>
              <w:rPr>
                <w:sz w:val="24"/>
              </w:rPr>
              <w:t>20m</w:t>
            </w:r>
            <w:r>
              <w:rPr>
                <w:sz w:val="24"/>
                <w:vertAlign w:val="superscript"/>
              </w:rPr>
              <w:t>3</w:t>
            </w:r>
            <w:r>
              <w:rPr>
                <w:sz w:val="24"/>
              </w:rPr>
              <w:t>/a</w:t>
            </w:r>
            <w:r>
              <w:rPr>
                <w:rFonts w:hint="eastAsia"/>
                <w:sz w:val="24"/>
              </w:rPr>
              <w:t>。</w:t>
            </w:r>
          </w:p>
          <w:p>
            <w:pPr>
              <w:spacing w:line="360" w:lineRule="auto"/>
              <w:ind w:firstLine="480" w:firstLineChars="200"/>
              <w:rPr>
                <w:sz w:val="24"/>
              </w:rPr>
            </w:pPr>
            <w:r>
              <w:rPr>
                <w:rFonts w:hint="eastAsia" w:ascii="宋体" w:hAnsi="宋体"/>
                <w:sz w:val="24"/>
              </w:rPr>
              <w:t>⑤</w:t>
            </w:r>
            <w:r>
              <w:rPr>
                <w:rFonts w:hint="eastAsia"/>
                <w:sz w:val="24"/>
              </w:rPr>
              <w:t>纯水制备设备浓水</w:t>
            </w:r>
          </w:p>
          <w:p>
            <w:pPr>
              <w:spacing w:line="360" w:lineRule="auto"/>
              <w:ind w:firstLine="480" w:firstLineChars="200"/>
              <w:rPr>
                <w:sz w:val="24"/>
              </w:rPr>
            </w:pPr>
            <w:r>
              <w:rPr>
                <w:rFonts w:hint="eastAsia"/>
                <w:sz w:val="24"/>
              </w:rPr>
              <w:t>项目锅炉补给用水和检测用水采用全自动钠离子交换器进行水质软化处理，纯水制水率为</w:t>
            </w:r>
            <w:r>
              <w:rPr>
                <w:sz w:val="24"/>
              </w:rPr>
              <w:t>90%</w:t>
            </w:r>
            <w:r>
              <w:rPr>
                <w:rFonts w:hint="eastAsia"/>
                <w:sz w:val="24"/>
              </w:rPr>
              <w:t>，则浓水产生量为</w:t>
            </w:r>
            <w:r>
              <w:rPr>
                <w:sz w:val="24"/>
              </w:rPr>
              <w:t>24.73m</w:t>
            </w:r>
            <w:r>
              <w:rPr>
                <w:sz w:val="24"/>
                <w:vertAlign w:val="superscript"/>
              </w:rPr>
              <w:t>3</w:t>
            </w:r>
            <w:r>
              <w:rPr>
                <w:sz w:val="24"/>
              </w:rPr>
              <w:t>/a</w:t>
            </w:r>
            <w:r>
              <w:rPr>
                <w:rFonts w:hint="eastAsia"/>
                <w:sz w:val="24"/>
              </w:rPr>
              <w:t>。</w:t>
            </w:r>
          </w:p>
          <w:p>
            <w:pPr>
              <w:spacing w:line="360" w:lineRule="auto"/>
              <w:ind w:firstLine="488" w:firstLineChars="200"/>
              <w:rPr>
                <w:sz w:val="24"/>
              </w:rPr>
            </w:pPr>
            <w:r>
              <w:rPr>
                <w:spacing w:val="2"/>
                <w:sz w:val="24"/>
              </w:rPr>
              <w:t>本</w:t>
            </w:r>
            <w:r>
              <w:rPr>
                <w:rFonts w:hint="eastAsia"/>
                <w:sz w:val="24"/>
              </w:rPr>
              <w:t>医院</w:t>
            </w:r>
            <w:r>
              <w:rPr>
                <w:sz w:val="24"/>
              </w:rPr>
              <w:t>排水采用雨污分流的排水系统，</w:t>
            </w:r>
            <w:r>
              <w:rPr>
                <w:rFonts w:hint="eastAsia"/>
                <w:sz w:val="24"/>
              </w:rPr>
              <w:t>其中食堂废水经隔油池处理后与其他废水经污水管道排至化粪池收集</w:t>
            </w:r>
            <w:r>
              <w:rPr>
                <w:sz w:val="24"/>
              </w:rPr>
              <w:t>后</w:t>
            </w:r>
            <w:r>
              <w:rPr>
                <w:rFonts w:hint="eastAsia"/>
                <w:sz w:val="24"/>
              </w:rPr>
              <w:t>排入污水处理站进行处理，目前污水处理后拉运至县城污水处理厂处理，待马蹄沟产业园区污水处理厂（正在建设中）投入运行后并网处理。</w:t>
            </w:r>
            <w:r>
              <w:rPr>
                <w:sz w:val="24"/>
              </w:rPr>
              <w:t>项目水平衡见图</w:t>
            </w:r>
            <w:r>
              <w:rPr>
                <w:rFonts w:hint="eastAsia"/>
                <w:sz w:val="24"/>
              </w:rPr>
              <w:t>1</w:t>
            </w:r>
            <w:r>
              <w:rPr>
                <w:sz w:val="24"/>
              </w:rPr>
              <w:t>-</w:t>
            </w:r>
            <w:r>
              <w:rPr>
                <w:rFonts w:hint="eastAsia"/>
                <w:sz w:val="24"/>
              </w:rPr>
              <w:t>1</w:t>
            </w:r>
            <w:r>
              <w:rPr>
                <w:sz w:val="24"/>
              </w:rPr>
              <w:t>。</w:t>
            </w:r>
          </w:p>
          <w:p>
            <w:pPr>
              <w:spacing w:line="360" w:lineRule="auto"/>
              <w:ind w:firstLine="420" w:firstLineChars="200"/>
              <w:jc w:val="left"/>
              <w:rPr>
                <w:sz w:val="24"/>
              </w:rPr>
            </w:pPr>
            <w:r>
              <w:rPr>
                <w:szCs w:val="21"/>
              </w:rPr>
              <mc:AlternateContent>
                <mc:Choice Requires="wpc">
                  <w:drawing>
                    <wp:inline distT="0" distB="0" distL="0" distR="0">
                      <wp:extent cx="5307965" cy="5644515"/>
                      <wp:effectExtent l="19050" t="19050" r="6985" b="13335"/>
                      <wp:docPr id="141" name="画布 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8" name="矩形 706"/>
                              <wps:cNvSpPr>
                                <a:spLocks noChangeArrowheads="1"/>
                              </wps:cNvSpPr>
                              <wps:spPr bwMode="auto">
                                <a:xfrm>
                                  <a:off x="171886" y="1670511"/>
                                  <a:ext cx="664203" cy="348671"/>
                                </a:xfrm>
                                <a:prstGeom prst="rect">
                                  <a:avLst/>
                                </a:prstGeom>
                                <a:solidFill>
                                  <a:srgbClr val="FFFFFF"/>
                                </a:solidFill>
                                <a:ln w="9525">
                                  <a:solidFill>
                                    <a:srgbClr val="000000"/>
                                  </a:solidFill>
                                  <a:miter lim="800000"/>
                                </a:ln>
                                <a:effectLst/>
                              </wps:spPr>
                              <wps:txbx>
                                <w:txbxContent>
                                  <w:p>
                                    <w:pPr>
                                      <w:adjustRightInd w:val="0"/>
                                      <w:snapToGrid w:val="0"/>
                                      <w:jc w:val="center"/>
                                    </w:pPr>
                                    <w:r>
                                      <w:rPr>
                                        <w:rFonts w:hint="eastAsia"/>
                                      </w:rPr>
                                      <w:t>新鲜水</w:t>
                                    </w:r>
                                  </w:p>
                                </w:txbxContent>
                              </wps:txbx>
                              <wps:bodyPr rot="0" vert="horz" wrap="square" lIns="91440" tIns="45720" rIns="91440" bIns="45720" anchor="t" anchorCtr="0" upright="1">
                                <a:noAutofit/>
                              </wps:bodyPr>
                            </wps:wsp>
                            <wps:wsp>
                              <wps:cNvPr id="13" name="自选图形 707"/>
                              <wps:cNvCnPr/>
                              <wps:spPr bwMode="auto">
                                <a:xfrm flipV="1">
                                  <a:off x="836089" y="1844493"/>
                                  <a:ext cx="609737" cy="707"/>
                                </a:xfrm>
                                <a:prstGeom prst="straightConnector1">
                                  <a:avLst/>
                                </a:prstGeom>
                                <a:noFill/>
                                <a:ln w="9525">
                                  <a:solidFill>
                                    <a:srgbClr val="000000"/>
                                  </a:solidFill>
                                  <a:round/>
                                  <a:tailEnd type="triangle" w="med" len="med"/>
                                </a:ln>
                                <a:effectLst/>
                              </wps:spPr>
                              <wps:bodyPr/>
                            </wps:wsp>
                            <wps:wsp>
                              <wps:cNvPr id="14" name="自选图形 709"/>
                              <wps:cNvCnPr/>
                              <wps:spPr bwMode="auto">
                                <a:xfrm>
                                  <a:off x="1452900" y="432126"/>
                                  <a:ext cx="539709" cy="707"/>
                                </a:xfrm>
                                <a:prstGeom prst="straightConnector1">
                                  <a:avLst/>
                                </a:prstGeom>
                                <a:noFill/>
                                <a:ln w="9525">
                                  <a:solidFill>
                                    <a:srgbClr val="000000"/>
                                  </a:solidFill>
                                  <a:round/>
                                  <a:tailEnd type="triangle" w="med" len="med"/>
                                </a:ln>
                                <a:effectLst/>
                              </wps:spPr>
                              <wps:bodyPr/>
                            </wps:wsp>
                            <wps:wsp>
                              <wps:cNvPr id="15" name="自选图形 710"/>
                              <wps:cNvCnPr/>
                              <wps:spPr bwMode="auto">
                                <a:xfrm>
                                  <a:off x="1460681" y="1106837"/>
                                  <a:ext cx="539709" cy="707"/>
                                </a:xfrm>
                                <a:prstGeom prst="straightConnector1">
                                  <a:avLst/>
                                </a:prstGeom>
                                <a:noFill/>
                                <a:ln w="9525">
                                  <a:solidFill>
                                    <a:srgbClr val="000000"/>
                                  </a:solidFill>
                                  <a:round/>
                                  <a:tailEnd type="triangle" w="med" len="med"/>
                                </a:ln>
                                <a:effectLst/>
                              </wps:spPr>
                              <wps:bodyPr/>
                            </wps:wsp>
                            <wps:wsp>
                              <wps:cNvPr id="16" name="自选图形 711"/>
                              <wps:cNvCnPr/>
                              <wps:spPr bwMode="auto">
                                <a:xfrm>
                                  <a:off x="1457144" y="1843785"/>
                                  <a:ext cx="539709" cy="707"/>
                                </a:xfrm>
                                <a:prstGeom prst="straightConnector1">
                                  <a:avLst/>
                                </a:prstGeom>
                                <a:noFill/>
                                <a:ln w="9525">
                                  <a:solidFill>
                                    <a:srgbClr val="000000"/>
                                  </a:solidFill>
                                  <a:round/>
                                  <a:tailEnd type="triangle" w="med" len="med"/>
                                </a:ln>
                                <a:effectLst/>
                              </wps:spPr>
                              <wps:bodyPr/>
                            </wps:wsp>
                            <wps:wsp>
                              <wps:cNvPr id="17" name="自选图形 712"/>
                              <wps:cNvCnPr/>
                              <wps:spPr bwMode="auto">
                                <a:xfrm>
                                  <a:off x="1452900" y="2490914"/>
                                  <a:ext cx="539709" cy="707"/>
                                </a:xfrm>
                                <a:prstGeom prst="straightConnector1">
                                  <a:avLst/>
                                </a:prstGeom>
                                <a:noFill/>
                                <a:ln w="9525">
                                  <a:solidFill>
                                    <a:srgbClr val="000000"/>
                                  </a:solidFill>
                                  <a:round/>
                                  <a:tailEnd type="triangle" w="med" len="med"/>
                                </a:ln>
                                <a:effectLst/>
                              </wps:spPr>
                              <wps:bodyPr/>
                            </wps:wsp>
                            <wps:wsp>
                              <wps:cNvPr id="18" name="自选图形 714"/>
                              <wps:cNvCnPr/>
                              <wps:spPr bwMode="auto">
                                <a:xfrm>
                                  <a:off x="3193692" y="4889178"/>
                                  <a:ext cx="539709" cy="707"/>
                                </a:xfrm>
                                <a:prstGeom prst="straightConnector1">
                                  <a:avLst/>
                                </a:prstGeom>
                                <a:noFill/>
                                <a:ln w="9525">
                                  <a:solidFill>
                                    <a:srgbClr val="000000"/>
                                  </a:solidFill>
                                  <a:round/>
                                  <a:tailEnd type="triangle" w="med" len="med"/>
                                </a:ln>
                                <a:effectLst/>
                              </wps:spPr>
                              <wps:bodyPr/>
                            </wps:wsp>
                            <wps:wsp>
                              <wps:cNvPr id="19" name="矩形 719"/>
                              <wps:cNvSpPr>
                                <a:spLocks noChangeArrowheads="1"/>
                              </wps:cNvSpPr>
                              <wps:spPr bwMode="auto">
                                <a:xfrm>
                                  <a:off x="1990487" y="933562"/>
                                  <a:ext cx="894092" cy="310480"/>
                                </a:xfrm>
                                <a:prstGeom prst="rect">
                                  <a:avLst/>
                                </a:prstGeom>
                                <a:solidFill>
                                  <a:srgbClr val="FFFFFF"/>
                                </a:solidFill>
                                <a:ln w="9525">
                                  <a:solidFill>
                                    <a:srgbClr val="000000"/>
                                  </a:solidFill>
                                  <a:miter lim="800000"/>
                                </a:ln>
                                <a:effectLst/>
                              </wps:spPr>
                              <wps:txbx>
                                <w:txbxContent>
                                  <w:p>
                                    <w:pPr>
                                      <w:jc w:val="center"/>
                                    </w:pPr>
                                    <w:r>
                                      <w:rPr>
                                        <w:rFonts w:hint="eastAsia"/>
                                      </w:rPr>
                                      <w:t>生活用水</w:t>
                                    </w:r>
                                  </w:p>
                                </w:txbxContent>
                              </wps:txbx>
                              <wps:bodyPr rot="0" vert="horz" wrap="square" lIns="91440" tIns="45720" rIns="91440" bIns="45720" anchor="t" anchorCtr="0" upright="1">
                                <a:noAutofit/>
                              </wps:bodyPr>
                            </wps:wsp>
                            <wps:wsp>
                              <wps:cNvPr id="20" name="矩形 720"/>
                              <wps:cNvSpPr>
                                <a:spLocks noChangeArrowheads="1"/>
                              </wps:cNvSpPr>
                              <wps:spPr bwMode="auto">
                                <a:xfrm>
                                  <a:off x="1464217" y="800600"/>
                                  <a:ext cx="479584" cy="304822"/>
                                </a:xfrm>
                                <a:prstGeom prst="rect">
                                  <a:avLst/>
                                </a:prstGeom>
                                <a:noFill/>
                                <a:ln>
                                  <a:noFill/>
                                </a:ln>
                                <a:effectLst/>
                              </wps:spPr>
                              <wps:txbx>
                                <w:txbxContent>
                                  <w:p>
                                    <w:pPr>
                                      <w:rPr>
                                        <w:szCs w:val="21"/>
                                      </w:rPr>
                                    </w:pPr>
                                    <w:r>
                                      <w:rPr>
                                        <w:color w:val="000000"/>
                                        <w:szCs w:val="21"/>
                                      </w:rPr>
                                      <w:t>2190</w:t>
                                    </w:r>
                                  </w:p>
                                </w:txbxContent>
                              </wps:txbx>
                              <wps:bodyPr rot="0" vert="horz" wrap="square" lIns="91440" tIns="45720" rIns="91440" bIns="45720" anchor="t" anchorCtr="0" upright="1">
                                <a:noAutofit/>
                              </wps:bodyPr>
                            </wps:wsp>
                            <wps:wsp>
                              <wps:cNvPr id="21" name="矩形 723"/>
                              <wps:cNvSpPr>
                                <a:spLocks noChangeArrowheads="1"/>
                              </wps:cNvSpPr>
                              <wps:spPr bwMode="auto">
                                <a:xfrm>
                                  <a:off x="1992609" y="1670511"/>
                                  <a:ext cx="879238" cy="284312"/>
                                </a:xfrm>
                                <a:prstGeom prst="rect">
                                  <a:avLst/>
                                </a:prstGeom>
                                <a:solidFill>
                                  <a:srgbClr val="FFFFFF"/>
                                </a:solidFill>
                                <a:ln w="9525">
                                  <a:solidFill>
                                    <a:srgbClr val="000000"/>
                                  </a:solidFill>
                                  <a:miter lim="800000"/>
                                </a:ln>
                                <a:effectLst/>
                              </wps:spPr>
                              <wps:txbx>
                                <w:txbxContent>
                                  <w:p>
                                    <w:pPr>
                                      <w:jc w:val="center"/>
                                    </w:pPr>
                                    <w:r>
                                      <w:rPr>
                                        <w:rFonts w:hint="eastAsia"/>
                                      </w:rPr>
                                      <w:t>门诊用水</w:t>
                                    </w:r>
                                  </w:p>
                                </w:txbxContent>
                              </wps:txbx>
                              <wps:bodyPr rot="0" vert="horz" wrap="square" lIns="91440" tIns="45720" rIns="91440" bIns="45720" anchor="t" anchorCtr="0" upright="1">
                                <a:noAutofit/>
                              </wps:bodyPr>
                            </wps:wsp>
                            <wps:wsp>
                              <wps:cNvPr id="22" name="矩形 725"/>
                              <wps:cNvSpPr>
                                <a:spLocks noChangeArrowheads="1"/>
                              </wps:cNvSpPr>
                              <wps:spPr bwMode="auto">
                                <a:xfrm>
                                  <a:off x="2929850" y="642178"/>
                                  <a:ext cx="888433" cy="291385"/>
                                </a:xfrm>
                                <a:prstGeom prst="rect">
                                  <a:avLst/>
                                </a:prstGeom>
                                <a:noFill/>
                                <a:ln>
                                  <a:noFill/>
                                </a:ln>
                                <a:effectLst/>
                              </wps:spPr>
                              <wps:txbx>
                                <w:txbxContent>
                                  <w:p>
                                    <w:pPr>
                                      <w:ind w:firstLine="105" w:firstLineChars="50"/>
                                      <w:rPr>
                                        <w:szCs w:val="21"/>
                                      </w:rPr>
                                    </w:pPr>
                                    <w:r>
                                      <w:rPr>
                                        <w:color w:val="000000"/>
                                        <w:szCs w:val="21"/>
                                      </w:rPr>
                                      <w:t>438</w:t>
                                    </w:r>
                                  </w:p>
                                </w:txbxContent>
                              </wps:txbx>
                              <wps:bodyPr rot="0" vert="horz" wrap="square" lIns="91440" tIns="45720" rIns="91440" bIns="45720" anchor="t" anchorCtr="0" upright="1">
                                <a:noAutofit/>
                              </wps:bodyPr>
                            </wps:wsp>
                            <wps:wsp>
                              <wps:cNvPr id="23" name="矩形 726"/>
                              <wps:cNvSpPr>
                                <a:spLocks noChangeArrowheads="1"/>
                              </wps:cNvSpPr>
                              <wps:spPr bwMode="auto">
                                <a:xfrm>
                                  <a:off x="1500292" y="1538963"/>
                                  <a:ext cx="525562" cy="304822"/>
                                </a:xfrm>
                                <a:prstGeom prst="rect">
                                  <a:avLst/>
                                </a:prstGeom>
                                <a:noFill/>
                                <a:ln>
                                  <a:noFill/>
                                </a:ln>
                                <a:effectLst/>
                              </wps:spPr>
                              <wps:txbx>
                                <w:txbxContent>
                                  <w:p>
                                    <w:pPr>
                                      <w:rPr>
                                        <w:szCs w:val="21"/>
                                      </w:rPr>
                                    </w:pPr>
                                    <w:r>
                                      <w:rPr>
                                        <w:color w:val="000000"/>
                                        <w:szCs w:val="21"/>
                                      </w:rPr>
                                      <w:t>321.2</w:t>
                                    </w:r>
                                  </w:p>
                                </w:txbxContent>
                              </wps:txbx>
                              <wps:bodyPr rot="0" vert="horz" wrap="square" lIns="91440" tIns="45720" rIns="91440" bIns="45720" anchor="t" anchorCtr="0" upright="1">
                                <a:noAutofit/>
                              </wps:bodyPr>
                            </wps:wsp>
                            <wps:wsp>
                              <wps:cNvPr id="24" name="矩形 731"/>
                              <wps:cNvSpPr>
                                <a:spLocks noChangeArrowheads="1"/>
                              </wps:cNvSpPr>
                              <wps:spPr bwMode="auto">
                                <a:xfrm>
                                  <a:off x="1985535" y="2389778"/>
                                  <a:ext cx="749085" cy="280069"/>
                                </a:xfrm>
                                <a:prstGeom prst="rect">
                                  <a:avLst/>
                                </a:prstGeom>
                                <a:solidFill>
                                  <a:srgbClr val="FFFFFF"/>
                                </a:solidFill>
                                <a:ln w="9525">
                                  <a:solidFill>
                                    <a:srgbClr val="000000"/>
                                  </a:solidFill>
                                  <a:miter lim="800000"/>
                                </a:ln>
                                <a:effectLst/>
                              </wps:spPr>
                              <wps:txbx>
                                <w:txbxContent>
                                  <w:p>
                                    <w:pPr>
                                      <w:jc w:val="center"/>
                                    </w:pPr>
                                    <w:r>
                                      <w:rPr>
                                        <w:rFonts w:hint="eastAsia"/>
                                      </w:rPr>
                                      <w:t>食堂用水</w:t>
                                    </w:r>
                                  </w:p>
                                </w:txbxContent>
                              </wps:txbx>
                              <wps:bodyPr rot="0" vert="horz" wrap="square" lIns="91440" tIns="45720" rIns="91440" bIns="45720" anchor="t" anchorCtr="0" upright="1">
                                <a:noAutofit/>
                              </wps:bodyPr>
                            </wps:wsp>
                            <wps:wsp>
                              <wps:cNvPr id="25" name="矩形 732"/>
                              <wps:cNvSpPr>
                                <a:spLocks noChangeArrowheads="1"/>
                              </wps:cNvSpPr>
                              <wps:spPr bwMode="auto">
                                <a:xfrm>
                                  <a:off x="2902970" y="1966139"/>
                                  <a:ext cx="723620" cy="445564"/>
                                </a:xfrm>
                                <a:prstGeom prst="rect">
                                  <a:avLst/>
                                </a:prstGeom>
                                <a:noFill/>
                                <a:ln>
                                  <a:noFill/>
                                </a:ln>
                                <a:effectLst/>
                              </wps:spPr>
                              <wps:txbx>
                                <w:txbxContent>
                                  <w:p>
                                    <w:r>
                                      <w:rPr>
                                        <w:color w:val="000000"/>
                                        <w:sz w:val="24"/>
                                      </w:rPr>
                                      <w:t>210.24</w:t>
                                    </w:r>
                                  </w:p>
                                </w:txbxContent>
                              </wps:txbx>
                              <wps:bodyPr rot="0" vert="horz" wrap="square" lIns="91440" tIns="45720" rIns="91440" bIns="45720" anchor="t" anchorCtr="0" upright="1">
                                <a:noAutofit/>
                              </wps:bodyPr>
                            </wps:wsp>
                            <wps:wsp>
                              <wps:cNvPr id="26" name="矩形 734"/>
                              <wps:cNvSpPr>
                                <a:spLocks noChangeArrowheads="1"/>
                              </wps:cNvSpPr>
                              <wps:spPr bwMode="auto">
                                <a:xfrm>
                                  <a:off x="2003219" y="288556"/>
                                  <a:ext cx="899751" cy="285727"/>
                                </a:xfrm>
                                <a:prstGeom prst="rect">
                                  <a:avLst/>
                                </a:prstGeom>
                                <a:solidFill>
                                  <a:srgbClr val="FFFFFF"/>
                                </a:solidFill>
                                <a:ln w="9525">
                                  <a:solidFill>
                                    <a:srgbClr val="000000"/>
                                  </a:solidFill>
                                  <a:miter lim="800000"/>
                                </a:ln>
                                <a:effectLst/>
                              </wps:spPr>
                              <wps:txbx>
                                <w:txbxContent>
                                  <w:p>
                                    <w:pPr>
                                      <w:jc w:val="center"/>
                                    </w:pPr>
                                    <w:r>
                                      <w:rPr>
                                        <w:rFonts w:hint="eastAsia"/>
                                      </w:rPr>
                                      <w:t>床位用水</w:t>
                                    </w:r>
                                  </w:p>
                                </w:txbxContent>
                              </wps:txbx>
                              <wps:bodyPr rot="0" vert="horz" wrap="square" lIns="91440" tIns="45720" rIns="91440" bIns="45720" anchor="t" anchorCtr="0" upright="1">
                                <a:noAutofit/>
                              </wps:bodyPr>
                            </wps:wsp>
                            <wps:wsp>
                              <wps:cNvPr id="27" name="矩形 735"/>
                              <wps:cNvSpPr>
                                <a:spLocks noChangeArrowheads="1"/>
                              </wps:cNvSpPr>
                              <wps:spPr bwMode="auto">
                                <a:xfrm>
                                  <a:off x="1396312" y="169739"/>
                                  <a:ext cx="700985" cy="332405"/>
                                </a:xfrm>
                                <a:prstGeom prst="rect">
                                  <a:avLst/>
                                </a:prstGeom>
                                <a:noFill/>
                                <a:ln>
                                  <a:noFill/>
                                </a:ln>
                                <a:effectLst/>
                              </wps:spPr>
                              <wps:txbx>
                                <w:txbxContent>
                                  <w:p>
                                    <w:pPr>
                                      <w:rPr>
                                        <w:szCs w:val="21"/>
                                      </w:rPr>
                                    </w:pPr>
                                    <w:r>
                                      <w:rPr>
                                        <w:color w:val="000000"/>
                                        <w:szCs w:val="21"/>
                                      </w:rPr>
                                      <w:t>17344.8</w:t>
                                    </w:r>
                                  </w:p>
                                </w:txbxContent>
                              </wps:txbx>
                              <wps:bodyPr rot="0" vert="horz" wrap="square" lIns="91440" tIns="45720" rIns="91440" bIns="45720" anchor="t" anchorCtr="0" upright="1">
                                <a:noAutofit/>
                              </wps:bodyPr>
                            </wps:wsp>
                            <wps:wsp>
                              <wps:cNvPr id="28" name="自选图形 737"/>
                              <wps:cNvCnPr/>
                              <wps:spPr bwMode="auto">
                                <a:xfrm flipV="1">
                                  <a:off x="2546465" y="143571"/>
                                  <a:ext cx="408849" cy="144985"/>
                                </a:xfrm>
                                <a:prstGeom prst="straightConnector1">
                                  <a:avLst/>
                                </a:prstGeom>
                                <a:noFill/>
                                <a:ln w="9525" cap="sq">
                                  <a:solidFill>
                                    <a:srgbClr val="000000"/>
                                  </a:solidFill>
                                  <a:prstDash val="sysDot"/>
                                  <a:round/>
                                  <a:tailEnd type="triangle" w="med" len="med"/>
                                </a:ln>
                                <a:effectLst/>
                              </wps:spPr>
                              <wps:bodyPr/>
                            </wps:wsp>
                            <wps:wsp>
                              <wps:cNvPr id="29" name="矩形 738"/>
                              <wps:cNvSpPr>
                                <a:spLocks noChangeArrowheads="1"/>
                              </wps:cNvSpPr>
                              <wps:spPr bwMode="auto">
                                <a:xfrm>
                                  <a:off x="2929850" y="0"/>
                                  <a:ext cx="755451" cy="306237"/>
                                </a:xfrm>
                                <a:prstGeom prst="rect">
                                  <a:avLst/>
                                </a:prstGeom>
                                <a:noFill/>
                                <a:ln>
                                  <a:noFill/>
                                </a:ln>
                                <a:effectLst/>
                              </wps:spPr>
                              <wps:txbx>
                                <w:txbxContent>
                                  <w:p>
                                    <w:pPr>
                                      <w:rPr>
                                        <w:szCs w:val="21"/>
                                      </w:rPr>
                                    </w:pPr>
                                    <w:r>
                                      <w:rPr>
                                        <w:color w:val="000000"/>
                                        <w:szCs w:val="21"/>
                                      </w:rPr>
                                      <w:t>3468.96</w:t>
                                    </w:r>
                                  </w:p>
                                </w:txbxContent>
                              </wps:txbx>
                              <wps:bodyPr rot="0" vert="horz" wrap="square" lIns="91440" tIns="45720" rIns="91440" bIns="45720" anchor="t" anchorCtr="0" upright="1">
                                <a:noAutofit/>
                              </wps:bodyPr>
                            </wps:wsp>
                            <wps:wsp>
                              <wps:cNvPr id="30" name="矩形 740"/>
                              <wps:cNvSpPr>
                                <a:spLocks noChangeArrowheads="1"/>
                              </wps:cNvSpPr>
                              <wps:spPr bwMode="auto">
                                <a:xfrm>
                                  <a:off x="3765232" y="4819868"/>
                                  <a:ext cx="763940" cy="250364"/>
                                </a:xfrm>
                                <a:prstGeom prst="rect">
                                  <a:avLst/>
                                </a:prstGeom>
                                <a:solidFill>
                                  <a:srgbClr val="FFFFFF"/>
                                </a:solidFill>
                                <a:ln w="9525">
                                  <a:solidFill>
                                    <a:srgbClr val="000000"/>
                                  </a:solidFill>
                                  <a:miter lim="800000"/>
                                </a:ln>
                                <a:effectLst/>
                              </wps:spPr>
                              <wps:txbx>
                                <w:txbxContent>
                                  <w:p>
                                    <w:pPr>
                                      <w:jc w:val="left"/>
                                    </w:pPr>
                                    <w:r>
                                      <w:rPr>
                                        <w:rFonts w:hint="eastAsia"/>
                                      </w:rPr>
                                      <w:t>检验用水</w:t>
                                    </w:r>
                                  </w:p>
                                </w:txbxContent>
                              </wps:txbx>
                              <wps:bodyPr rot="0" vert="horz" wrap="square" lIns="91440" tIns="45720" rIns="91440" bIns="45720" anchor="t" anchorCtr="0" upright="1">
                                <a:noAutofit/>
                              </wps:bodyPr>
                            </wps:wsp>
                            <wps:wsp>
                              <wps:cNvPr id="31" name="矩形 741"/>
                              <wps:cNvSpPr>
                                <a:spLocks noChangeArrowheads="1"/>
                              </wps:cNvSpPr>
                              <wps:spPr bwMode="auto">
                                <a:xfrm>
                                  <a:off x="1464217" y="4018561"/>
                                  <a:ext cx="621762" cy="241170"/>
                                </a:xfrm>
                                <a:prstGeom prst="rect">
                                  <a:avLst/>
                                </a:prstGeom>
                                <a:noFill/>
                                <a:ln>
                                  <a:noFill/>
                                </a:ln>
                                <a:effectLst/>
                              </wps:spPr>
                              <wps:txbx>
                                <w:txbxContent>
                                  <w:p>
                                    <w:pPr>
                                      <w:rPr>
                                        <w:szCs w:val="21"/>
                                      </w:rPr>
                                    </w:pPr>
                                    <w:r>
                                      <w:rPr>
                                        <w:color w:val="000000"/>
                                        <w:szCs w:val="21"/>
                                      </w:rPr>
                                      <w:t>247.26</w:t>
                                    </w:r>
                                  </w:p>
                                </w:txbxContent>
                              </wps:txbx>
                              <wps:bodyPr rot="0" vert="horz" wrap="square" lIns="91440" tIns="45720" rIns="91440" bIns="45720" anchor="t" anchorCtr="0" upright="1">
                                <a:noAutofit/>
                              </wps:bodyPr>
                            </wps:wsp>
                            <wps:wsp>
                              <wps:cNvPr id="32" name="自选图形 742"/>
                              <wps:cNvCnPr/>
                              <wps:spPr bwMode="auto">
                                <a:xfrm flipV="1">
                                  <a:off x="2395799" y="2196700"/>
                                  <a:ext cx="456949" cy="167617"/>
                                </a:xfrm>
                                <a:prstGeom prst="straightConnector1">
                                  <a:avLst/>
                                </a:prstGeom>
                                <a:noFill/>
                                <a:ln w="9525">
                                  <a:solidFill>
                                    <a:srgbClr val="000000"/>
                                  </a:solidFill>
                                  <a:prstDash val="dashDot"/>
                                  <a:round/>
                                  <a:tailEnd type="triangle" w="med" len="med"/>
                                </a:ln>
                                <a:effectLst/>
                              </wps:spPr>
                              <wps:bodyPr/>
                            </wps:wsp>
                            <wps:wsp>
                              <wps:cNvPr id="33" name="矩形 879"/>
                              <wps:cNvSpPr>
                                <a:spLocks noChangeArrowheads="1"/>
                              </wps:cNvSpPr>
                              <wps:spPr bwMode="auto">
                                <a:xfrm>
                                  <a:off x="4510073" y="1401051"/>
                                  <a:ext cx="797892" cy="299164"/>
                                </a:xfrm>
                                <a:prstGeom prst="rect">
                                  <a:avLst/>
                                </a:prstGeom>
                                <a:solidFill>
                                  <a:srgbClr val="FFFFFF"/>
                                </a:solidFill>
                                <a:ln w="9525">
                                  <a:solidFill>
                                    <a:srgbClr val="000000"/>
                                  </a:solidFill>
                                  <a:miter lim="800000"/>
                                </a:ln>
                                <a:effectLst/>
                              </wps:spPr>
                              <wps:txbx>
                                <w:txbxContent>
                                  <w:p>
                                    <w:pPr>
                                      <w:jc w:val="center"/>
                                    </w:pPr>
                                    <w:r>
                                      <w:rPr>
                                        <w:rFonts w:hint="eastAsia"/>
                                      </w:rPr>
                                      <w:t>化粪池</w:t>
                                    </w:r>
                                  </w:p>
                                </w:txbxContent>
                              </wps:txbx>
                              <wps:bodyPr rot="0" vert="horz" wrap="square" lIns="91440" tIns="45720" rIns="91440" bIns="45720" anchor="t" anchorCtr="0" upright="1">
                                <a:noAutofit/>
                              </wps:bodyPr>
                            </wps:wsp>
                            <wps:wsp>
                              <wps:cNvPr id="34" name="矩形 890"/>
                              <wps:cNvSpPr>
                                <a:spLocks noChangeArrowheads="1"/>
                              </wps:cNvSpPr>
                              <wps:spPr bwMode="auto">
                                <a:xfrm>
                                  <a:off x="3034538" y="182469"/>
                                  <a:ext cx="749792" cy="298457"/>
                                </a:xfrm>
                                <a:prstGeom prst="rect">
                                  <a:avLst/>
                                </a:prstGeom>
                                <a:noFill/>
                                <a:ln>
                                  <a:noFill/>
                                </a:ln>
                                <a:effectLst/>
                              </wps:spPr>
                              <wps:txbx>
                                <w:txbxContent>
                                  <w:p>
                                    <w:r>
                                      <w:t>13875.84</w:t>
                                    </w:r>
                                  </w:p>
                                </w:txbxContent>
                              </wps:txbx>
                              <wps:bodyPr rot="0" vert="horz" wrap="square" lIns="91440" tIns="45720" rIns="91440" bIns="45720" anchor="t" anchorCtr="0" upright="1">
                                <a:noAutofit/>
                              </wps:bodyPr>
                            </wps:wsp>
                            <wps:wsp>
                              <wps:cNvPr id="35" name="矩形 891"/>
                              <wps:cNvSpPr>
                                <a:spLocks noChangeArrowheads="1"/>
                              </wps:cNvSpPr>
                              <wps:spPr bwMode="auto">
                                <a:xfrm>
                                  <a:off x="836089" y="1540378"/>
                                  <a:ext cx="535465" cy="304822"/>
                                </a:xfrm>
                                <a:prstGeom prst="rect">
                                  <a:avLst/>
                                </a:prstGeom>
                                <a:noFill/>
                                <a:ln>
                                  <a:noFill/>
                                </a:ln>
                                <a:effectLst/>
                              </wps:spPr>
                              <wps:txbx>
                                <w:txbxContent>
                                  <w:p>
                                    <w:pPr>
                                      <w:rPr>
                                        <w:szCs w:val="21"/>
                                      </w:rPr>
                                    </w:pPr>
                                    <w:r>
                                      <w:rPr>
                                        <w:color w:val="000000"/>
                                        <w:szCs w:val="21"/>
                                      </w:rPr>
                                      <w:t>60.45</w:t>
                                    </w:r>
                                  </w:p>
                                </w:txbxContent>
                              </wps:txbx>
                              <wps:bodyPr rot="0" vert="horz" wrap="square" lIns="91440" tIns="45720" rIns="91440" bIns="45720" anchor="t" anchorCtr="0" upright="1">
                                <a:noAutofit/>
                              </wps:bodyPr>
                            </wps:wsp>
                            <wps:wsp>
                              <wps:cNvPr id="36" name="矩形 716"/>
                              <wps:cNvSpPr>
                                <a:spLocks noChangeArrowheads="1"/>
                              </wps:cNvSpPr>
                              <wps:spPr bwMode="auto">
                                <a:xfrm>
                                  <a:off x="3254524" y="4623255"/>
                                  <a:ext cx="439973" cy="304115"/>
                                </a:xfrm>
                                <a:prstGeom prst="rect">
                                  <a:avLst/>
                                </a:prstGeom>
                                <a:noFill/>
                                <a:ln>
                                  <a:noFill/>
                                </a:ln>
                                <a:effectLst/>
                              </wps:spPr>
                              <wps:txbx>
                                <w:txbxContent>
                                  <w:p>
                                    <w:pPr>
                                      <w:ind w:left="210" w:hanging="210" w:hangingChars="100"/>
                                    </w:pPr>
                                    <w:r>
                                      <w:t>3.65</w:t>
                                    </w:r>
                                  </w:p>
                                </w:txbxContent>
                              </wps:txbx>
                              <wps:bodyPr rot="0" vert="horz" wrap="square" lIns="91440" tIns="45720" rIns="91440" bIns="45720" anchor="t" anchorCtr="0" upright="1">
                                <a:noAutofit/>
                              </wps:bodyPr>
                            </wps:wsp>
                            <wps:wsp>
                              <wps:cNvPr id="37" name="自选图形 713"/>
                              <wps:cNvCnPr/>
                              <wps:spPr bwMode="auto">
                                <a:xfrm>
                                  <a:off x="1492511" y="4308531"/>
                                  <a:ext cx="533343" cy="1414"/>
                                </a:xfrm>
                                <a:prstGeom prst="straightConnector1">
                                  <a:avLst/>
                                </a:prstGeom>
                                <a:noFill/>
                                <a:ln w="9525">
                                  <a:solidFill>
                                    <a:srgbClr val="000000"/>
                                  </a:solidFill>
                                  <a:round/>
                                  <a:tailEnd type="triangle" w="med" len="med"/>
                                </a:ln>
                                <a:effectLst/>
                              </wps:spPr>
                              <wps:bodyPr/>
                            </wps:wsp>
                            <wps:wsp>
                              <wps:cNvPr id="38" name="自选图形 737"/>
                              <wps:cNvCnPr/>
                              <wps:spPr bwMode="auto">
                                <a:xfrm flipV="1">
                                  <a:off x="2605175" y="800600"/>
                                  <a:ext cx="409556" cy="132962"/>
                                </a:xfrm>
                                <a:prstGeom prst="straightConnector1">
                                  <a:avLst/>
                                </a:prstGeom>
                                <a:noFill/>
                                <a:ln w="9525" cap="sq">
                                  <a:solidFill>
                                    <a:srgbClr val="000000"/>
                                  </a:solidFill>
                                  <a:prstDash val="sysDot"/>
                                  <a:round/>
                                  <a:tailEnd type="triangle" w="med" len="med"/>
                                </a:ln>
                                <a:effectLst/>
                              </wps:spPr>
                              <wps:bodyPr/>
                            </wps:wsp>
                            <wps:wsp>
                              <wps:cNvPr id="39" name="矩形 890"/>
                              <wps:cNvSpPr>
                                <a:spLocks noChangeArrowheads="1"/>
                              </wps:cNvSpPr>
                              <wps:spPr bwMode="auto">
                                <a:xfrm>
                                  <a:off x="3032416" y="893249"/>
                                  <a:ext cx="510000" cy="255315"/>
                                </a:xfrm>
                                <a:prstGeom prst="rect">
                                  <a:avLst/>
                                </a:prstGeom>
                                <a:noFill/>
                                <a:ln>
                                  <a:noFill/>
                                </a:ln>
                                <a:effectLst/>
                              </wps:spPr>
                              <wps:txbx>
                                <w:txbxContent>
                                  <w:p>
                                    <w:r>
                                      <w:t>1752</w:t>
                                    </w:r>
                                  </w:p>
                                </w:txbxContent>
                              </wps:txbx>
                              <wps:bodyPr rot="0" vert="horz" wrap="square" lIns="91440" tIns="45720" rIns="91440" bIns="45720" anchor="t" anchorCtr="0" upright="1">
                                <a:noAutofit/>
                              </wps:bodyPr>
                            </wps:wsp>
                            <wps:wsp>
                              <wps:cNvPr id="40" name="矩形 718"/>
                              <wps:cNvSpPr>
                                <a:spLocks noChangeArrowheads="1"/>
                              </wps:cNvSpPr>
                              <wps:spPr bwMode="auto">
                                <a:xfrm>
                                  <a:off x="2925605" y="1341642"/>
                                  <a:ext cx="713718" cy="330990"/>
                                </a:xfrm>
                                <a:prstGeom prst="rect">
                                  <a:avLst/>
                                </a:prstGeom>
                                <a:noFill/>
                                <a:ln>
                                  <a:noFill/>
                                </a:ln>
                                <a:effectLst/>
                              </wps:spPr>
                              <wps:txbx>
                                <w:txbxContent>
                                  <w:p>
                                    <w:pPr>
                                      <w:rPr>
                                        <w:szCs w:val="21"/>
                                      </w:rPr>
                                    </w:pPr>
                                    <w:r>
                                      <w:rPr>
                                        <w:color w:val="000000"/>
                                        <w:szCs w:val="21"/>
                                      </w:rPr>
                                      <w:t xml:space="preserve">64.24 </w:t>
                                    </w:r>
                                  </w:p>
                                </w:txbxContent>
                              </wps:txbx>
                              <wps:bodyPr rot="0" vert="horz" wrap="square" lIns="91440" tIns="45720" rIns="91440" bIns="45720" anchor="t" anchorCtr="0" upright="1">
                                <a:noAutofit/>
                              </wps:bodyPr>
                            </wps:wsp>
                            <wps:wsp>
                              <wps:cNvPr id="41" name="矩形 743"/>
                              <wps:cNvSpPr>
                                <a:spLocks noChangeArrowheads="1"/>
                              </wps:cNvSpPr>
                              <wps:spPr bwMode="auto">
                                <a:xfrm>
                                  <a:off x="3051514" y="1589885"/>
                                  <a:ext cx="633787" cy="255315"/>
                                </a:xfrm>
                                <a:prstGeom prst="rect">
                                  <a:avLst/>
                                </a:prstGeom>
                                <a:noFill/>
                                <a:ln>
                                  <a:noFill/>
                                </a:ln>
                                <a:effectLst/>
                              </wps:spPr>
                              <wps:txbx>
                                <w:txbxContent>
                                  <w:p>
                                    <w:pPr>
                                      <w:rPr>
                                        <w:szCs w:val="21"/>
                                      </w:rPr>
                                    </w:pPr>
                                    <w:r>
                                      <w:rPr>
                                        <w:color w:val="000000"/>
                                        <w:szCs w:val="21"/>
                                      </w:rPr>
                                      <w:t xml:space="preserve">256.96    </w:t>
                                    </w:r>
                                  </w:p>
                                </w:txbxContent>
                              </wps:txbx>
                              <wps:bodyPr rot="0" vert="horz" wrap="square" lIns="91440" tIns="45720" rIns="91440" bIns="45720" anchor="t" anchorCtr="0" upright="1">
                                <a:noAutofit/>
                              </wps:bodyPr>
                            </wps:wsp>
                            <wps:wsp>
                              <wps:cNvPr id="42" name="矩形 891"/>
                              <wps:cNvSpPr>
                                <a:spLocks noChangeArrowheads="1"/>
                              </wps:cNvSpPr>
                              <wps:spPr bwMode="auto">
                                <a:xfrm>
                                  <a:off x="2622152" y="2222161"/>
                                  <a:ext cx="681179" cy="333819"/>
                                </a:xfrm>
                                <a:prstGeom prst="rect">
                                  <a:avLst/>
                                </a:prstGeom>
                                <a:noFill/>
                                <a:ln>
                                  <a:noFill/>
                                </a:ln>
                                <a:effectLst/>
                              </wps:spPr>
                              <wps:txbx>
                                <w:txbxContent>
                                  <w:p>
                                    <w:pPr>
                                      <w:rPr>
                                        <w:szCs w:val="21"/>
                                      </w:rPr>
                                    </w:pPr>
                                    <w:r>
                                      <w:rPr>
                                        <w:color w:val="000000"/>
                                        <w:szCs w:val="21"/>
                                      </w:rPr>
                                      <w:t>840.96</w:t>
                                    </w:r>
                                  </w:p>
                                </w:txbxContent>
                              </wps:txbx>
                              <wps:bodyPr rot="0" vert="horz" wrap="square" lIns="91440" tIns="45720" rIns="91440" bIns="45720" anchor="t" anchorCtr="0" upright="1">
                                <a:noAutofit/>
                              </wps:bodyPr>
                            </wps:wsp>
                            <wps:wsp>
                              <wps:cNvPr id="43" name="矩形 877"/>
                              <wps:cNvSpPr>
                                <a:spLocks noChangeArrowheads="1"/>
                              </wps:cNvSpPr>
                              <wps:spPr bwMode="auto">
                                <a:xfrm>
                                  <a:off x="4628200" y="2364317"/>
                                  <a:ext cx="679765" cy="597621"/>
                                </a:xfrm>
                                <a:prstGeom prst="rect">
                                  <a:avLst/>
                                </a:prstGeom>
                                <a:solidFill>
                                  <a:srgbClr val="FFFFFF"/>
                                </a:solidFill>
                                <a:ln w="9525">
                                  <a:solidFill>
                                    <a:srgbClr val="000000"/>
                                  </a:solidFill>
                                  <a:miter lim="800000"/>
                                </a:ln>
                                <a:effectLst/>
                              </wps:spPr>
                              <wps:txbx>
                                <w:txbxContent>
                                  <w:p>
                                    <w:pPr>
                                      <w:jc w:val="center"/>
                                    </w:pPr>
                                    <w:r>
                                      <w:rPr>
                                        <w:rFonts w:hint="eastAsia"/>
                                      </w:rPr>
                                      <w:t>医院污水处理站</w:t>
                                    </w:r>
                                    <w:r>
                                      <w:t xml:space="preserve"> </w:t>
                                    </w:r>
                                  </w:p>
                                </w:txbxContent>
                              </wps:txbx>
                              <wps:bodyPr rot="0" vert="horz" wrap="square" lIns="91440" tIns="45720" rIns="91440" bIns="45720" anchor="t" anchorCtr="0" upright="1">
                                <a:noAutofit/>
                              </wps:bodyPr>
                            </wps:wsp>
                            <wps:wsp>
                              <wps:cNvPr id="44" name="自选图形 737"/>
                              <wps:cNvCnPr/>
                              <wps:spPr bwMode="auto">
                                <a:xfrm flipV="1">
                                  <a:off x="2516049" y="1540378"/>
                                  <a:ext cx="409556" cy="132255"/>
                                </a:xfrm>
                                <a:prstGeom prst="straightConnector1">
                                  <a:avLst/>
                                </a:prstGeom>
                                <a:noFill/>
                                <a:ln w="9525" cap="sq">
                                  <a:solidFill>
                                    <a:srgbClr val="000000"/>
                                  </a:solidFill>
                                  <a:prstDash val="sysDot"/>
                                  <a:round/>
                                  <a:tailEnd type="triangle" w="med" len="med"/>
                                </a:ln>
                                <a:effectLst/>
                              </wps:spPr>
                              <wps:bodyPr/>
                            </wps:wsp>
                            <wps:wsp>
                              <wps:cNvPr id="45" name="矩形 726"/>
                              <wps:cNvSpPr>
                                <a:spLocks noChangeArrowheads="1"/>
                              </wps:cNvSpPr>
                              <wps:spPr bwMode="auto">
                                <a:xfrm>
                                  <a:off x="1464217" y="2196700"/>
                                  <a:ext cx="592760" cy="518410"/>
                                </a:xfrm>
                                <a:prstGeom prst="rect">
                                  <a:avLst/>
                                </a:prstGeom>
                                <a:noFill/>
                                <a:ln>
                                  <a:noFill/>
                                </a:ln>
                                <a:effectLst/>
                              </wps:spPr>
                              <wps:txbx>
                                <w:txbxContent>
                                  <w:p>
                                    <w:pPr>
                                      <w:rPr>
                                        <w:szCs w:val="21"/>
                                      </w:rPr>
                                    </w:pPr>
                                    <w:r>
                                      <w:rPr>
                                        <w:color w:val="000000"/>
                                        <w:szCs w:val="21"/>
                                      </w:rPr>
                                      <w:t>1051.2</w:t>
                                    </w:r>
                                  </w:p>
                                </w:txbxContent>
                              </wps:txbx>
                              <wps:bodyPr rot="0" vert="horz" wrap="square" lIns="91440" tIns="45720" rIns="91440" bIns="45720" anchor="t" anchorCtr="0" upright="1">
                                <a:noAutofit/>
                              </wps:bodyPr>
                            </wps:wsp>
                            <wps:wsp>
                              <wps:cNvPr id="46" name="自选图形 84"/>
                              <wps:cNvCnPr/>
                              <wps:spPr bwMode="auto">
                                <a:xfrm>
                                  <a:off x="1428850" y="405958"/>
                                  <a:ext cx="45270" cy="3902573"/>
                                </a:xfrm>
                                <a:prstGeom prst="straightConnector1">
                                  <a:avLst/>
                                </a:prstGeom>
                                <a:noFill/>
                                <a:ln w="9525">
                                  <a:solidFill>
                                    <a:srgbClr val="000000"/>
                                  </a:solidFill>
                                  <a:round/>
                                </a:ln>
                                <a:effectLst/>
                              </wps:spPr>
                              <wps:bodyPr/>
                            </wps:wsp>
                            <wps:wsp>
                              <wps:cNvPr id="47" name="矩形 891"/>
                              <wps:cNvSpPr>
                                <a:spLocks noChangeArrowheads="1"/>
                              </wps:cNvSpPr>
                              <wps:spPr bwMode="auto">
                                <a:xfrm>
                                  <a:off x="3892555" y="1321132"/>
                                  <a:ext cx="683301" cy="361402"/>
                                </a:xfrm>
                                <a:prstGeom prst="rect">
                                  <a:avLst/>
                                </a:prstGeom>
                                <a:noFill/>
                                <a:ln>
                                  <a:noFill/>
                                </a:ln>
                                <a:effectLst/>
                              </wps:spPr>
                              <wps:txbx>
                                <w:txbxContent>
                                  <w:p>
                                    <w:r>
                                      <w:t>16725.76</w:t>
                                    </w:r>
                                  </w:p>
                                </w:txbxContent>
                              </wps:txbx>
                              <wps:bodyPr rot="0" vert="horz" wrap="square" lIns="91440" tIns="45720" rIns="91440" bIns="45720" anchor="t" anchorCtr="0" upright="1">
                                <a:noAutofit/>
                              </wps:bodyPr>
                            </wps:wsp>
                            <wps:wsp>
                              <wps:cNvPr id="48" name="矩形 891"/>
                              <wps:cNvSpPr>
                                <a:spLocks noChangeArrowheads="1"/>
                              </wps:cNvSpPr>
                              <wps:spPr bwMode="auto">
                                <a:xfrm>
                                  <a:off x="4330405" y="1878440"/>
                                  <a:ext cx="790112" cy="383326"/>
                                </a:xfrm>
                                <a:prstGeom prst="rect">
                                  <a:avLst/>
                                </a:prstGeom>
                                <a:noFill/>
                                <a:ln>
                                  <a:noFill/>
                                </a:ln>
                                <a:effectLst/>
                              </wps:spPr>
                              <wps:txbx>
                                <w:txbxContent>
                                  <w:p>
                                    <w:r>
                                      <w:t>16770.49</w:t>
                                    </w:r>
                                  </w:p>
                                </w:txbxContent>
                              </wps:txbx>
                              <wps:bodyPr rot="0" vert="horz" wrap="square" lIns="91440" tIns="45720" rIns="91440" bIns="45720" anchor="t" anchorCtr="0" upright="1">
                                <a:noAutofit/>
                              </wps:bodyPr>
                            </wps:wsp>
                            <wps:wsp>
                              <wps:cNvPr id="49" name="矩形 877"/>
                              <wps:cNvSpPr>
                                <a:spLocks noChangeArrowheads="1"/>
                              </wps:cNvSpPr>
                              <wps:spPr bwMode="auto">
                                <a:xfrm>
                                  <a:off x="4564539" y="3242714"/>
                                  <a:ext cx="718669" cy="641470"/>
                                </a:xfrm>
                                <a:prstGeom prst="rect">
                                  <a:avLst/>
                                </a:prstGeom>
                                <a:solidFill>
                                  <a:srgbClr val="FFFFFF"/>
                                </a:solidFill>
                                <a:ln>
                                  <a:noFill/>
                                </a:ln>
                                <a:effectLst/>
                              </wps:spPr>
                              <wps:txbx>
                                <w:txbxContent>
                                  <w:p>
                                    <w:pPr>
                                      <w:jc w:val="center"/>
                                    </w:pPr>
                                    <w:r>
                                      <w:rPr>
                                        <w:rFonts w:hint="eastAsia"/>
                                        <w:color w:val="000000"/>
                                        <w:szCs w:val="21"/>
                                      </w:rPr>
                                      <w:t>马蹄沟产业园区污水处理厂</w:t>
                                    </w:r>
                                  </w:p>
                                </w:txbxContent>
                              </wps:txbx>
                              <wps:bodyPr rot="0" vert="horz" wrap="square" lIns="91440" tIns="45720" rIns="91440" bIns="45720" anchor="t" anchorCtr="0" upright="1">
                                <a:noAutofit/>
                              </wps:bodyPr>
                            </wps:wsp>
                            <wps:wsp>
                              <wps:cNvPr id="50" name="矩形 740"/>
                              <wps:cNvSpPr>
                                <a:spLocks noChangeArrowheads="1"/>
                              </wps:cNvSpPr>
                              <wps:spPr bwMode="auto">
                                <a:xfrm>
                                  <a:off x="2000390" y="4165668"/>
                                  <a:ext cx="900458" cy="284312"/>
                                </a:xfrm>
                                <a:prstGeom prst="rect">
                                  <a:avLst/>
                                </a:prstGeom>
                                <a:solidFill>
                                  <a:srgbClr val="FFFFFF"/>
                                </a:solidFill>
                                <a:ln w="9525">
                                  <a:solidFill>
                                    <a:srgbClr val="000000"/>
                                  </a:solidFill>
                                  <a:miter lim="800000"/>
                                </a:ln>
                                <a:effectLst/>
                              </wps:spPr>
                              <wps:txbx>
                                <w:txbxContent>
                                  <w:p>
                                    <w:pPr>
                                      <w:jc w:val="center"/>
                                    </w:pPr>
                                    <w:r>
                                      <w:rPr>
                                        <w:rFonts w:hint="eastAsia"/>
                                      </w:rPr>
                                      <w:t>纯水制备</w:t>
                                    </w:r>
                                  </w:p>
                                  <w:p>
                                    <w:pPr>
                                      <w:jc w:val="center"/>
                                    </w:pPr>
                                  </w:p>
                                </w:txbxContent>
                              </wps:txbx>
                              <wps:bodyPr rot="0" vert="horz" wrap="square" lIns="91440" tIns="45720" rIns="91440" bIns="45720" anchor="t" anchorCtr="0" upright="1">
                                <a:noAutofit/>
                              </wps:bodyPr>
                            </wps:wsp>
                            <wps:wsp>
                              <wps:cNvPr id="51" name="自选图形 106"/>
                              <wps:cNvCnPr/>
                              <wps:spPr bwMode="auto">
                                <a:xfrm>
                                  <a:off x="4945094" y="2961938"/>
                                  <a:ext cx="0" cy="258851"/>
                                </a:xfrm>
                                <a:prstGeom prst="straightConnector1">
                                  <a:avLst/>
                                </a:prstGeom>
                                <a:noFill/>
                                <a:ln w="9525">
                                  <a:solidFill>
                                    <a:srgbClr val="000000"/>
                                  </a:solidFill>
                                  <a:round/>
                                  <a:tailEnd type="triangle" w="med" len="med"/>
                                </a:ln>
                                <a:effectLst/>
                              </wps:spPr>
                              <wps:bodyPr/>
                            </wps:wsp>
                            <wps:wsp>
                              <wps:cNvPr id="52" name="矩形 880"/>
                              <wps:cNvSpPr>
                                <a:spLocks noChangeArrowheads="1"/>
                              </wps:cNvSpPr>
                              <wps:spPr bwMode="auto">
                                <a:xfrm>
                                  <a:off x="1469169" y="2807759"/>
                                  <a:ext cx="527684" cy="413031"/>
                                </a:xfrm>
                                <a:prstGeom prst="rect">
                                  <a:avLst/>
                                </a:prstGeom>
                                <a:noFill/>
                                <a:ln>
                                  <a:noFill/>
                                </a:ln>
                                <a:effectLst/>
                              </wps:spPr>
                              <wps:txbx>
                                <w:txbxContent>
                                  <w:p>
                                    <w:pPr>
                                      <w:rPr>
                                        <w:szCs w:val="21"/>
                                      </w:rPr>
                                    </w:pPr>
                                    <w:r>
                                      <w:rPr>
                                        <w:color w:val="000000"/>
                                        <w:szCs w:val="21"/>
                                      </w:rPr>
                                      <w:t xml:space="preserve">258 </w:t>
                                    </w:r>
                                    <w:r>
                                      <w:rPr>
                                        <w:rFonts w:hint="eastAsia"/>
                                        <w:color w:val="000000"/>
                                        <w:szCs w:val="21"/>
                                      </w:rPr>
                                      <w:t xml:space="preserve"> </w:t>
                                    </w:r>
                                    <w:r>
                                      <w:rPr>
                                        <w:color w:val="000000"/>
                                        <w:szCs w:val="21"/>
                                      </w:rPr>
                                      <w:t xml:space="preserve"> </w:t>
                                    </w:r>
                                  </w:p>
                                </w:txbxContent>
                              </wps:txbx>
                              <wps:bodyPr rot="0" vert="horz" wrap="square" lIns="91440" tIns="45720" rIns="91440" bIns="45720" anchor="t" anchorCtr="0" upright="1">
                                <a:noAutofit/>
                              </wps:bodyPr>
                            </wps:wsp>
                            <wps:wsp>
                              <wps:cNvPr id="53" name="矩形 740"/>
                              <wps:cNvSpPr>
                                <a:spLocks noChangeArrowheads="1"/>
                              </wps:cNvSpPr>
                              <wps:spPr bwMode="auto">
                                <a:xfrm>
                                  <a:off x="3701570" y="5326962"/>
                                  <a:ext cx="896214" cy="317553"/>
                                </a:xfrm>
                                <a:prstGeom prst="rect">
                                  <a:avLst/>
                                </a:prstGeom>
                                <a:noFill/>
                                <a:ln>
                                  <a:noFill/>
                                </a:ln>
                                <a:effectLst/>
                              </wps:spPr>
                              <wps:txbx>
                                <w:txbxContent>
                                  <w:p>
                                    <w:r>
                                      <w:rPr>
                                        <w:rFonts w:hint="eastAsia"/>
                                      </w:rPr>
                                      <w:t>危险废物</w:t>
                                    </w:r>
                                  </w:p>
                                </w:txbxContent>
                              </wps:txbx>
                              <wps:bodyPr rot="0" vert="horz" wrap="square" lIns="91440" tIns="45720" rIns="91440" bIns="45720" anchor="t" anchorCtr="0" upright="1">
                                <a:noAutofit/>
                              </wps:bodyPr>
                            </wps:wsp>
                            <wps:wsp>
                              <wps:cNvPr id="54" name="矩形 740"/>
                              <wps:cNvSpPr>
                                <a:spLocks noChangeArrowheads="1"/>
                              </wps:cNvSpPr>
                              <wps:spPr bwMode="auto">
                                <a:xfrm>
                                  <a:off x="2120640" y="3572290"/>
                                  <a:ext cx="695326" cy="263802"/>
                                </a:xfrm>
                                <a:prstGeom prst="rect">
                                  <a:avLst/>
                                </a:prstGeom>
                                <a:solidFill>
                                  <a:srgbClr val="FFFFFF"/>
                                </a:solidFill>
                                <a:ln w="9525">
                                  <a:solidFill>
                                    <a:srgbClr val="000000"/>
                                  </a:solidFill>
                                  <a:miter lim="800000"/>
                                </a:ln>
                                <a:effectLst/>
                              </wps:spPr>
                              <wps:txbx>
                                <w:txbxContent>
                                  <w:p>
                                    <w:pPr>
                                      <w:jc w:val="center"/>
                                    </w:pPr>
                                    <w:r>
                                      <w:rPr>
                                        <w:rFonts w:hint="eastAsia"/>
                                      </w:rPr>
                                      <w:t>浓水</w:t>
                                    </w:r>
                                  </w:p>
                                </w:txbxContent>
                              </wps:txbx>
                              <wps:bodyPr rot="0" vert="horz" wrap="square" lIns="91440" tIns="45720" rIns="91440" bIns="45720" anchor="t" anchorCtr="0" upright="1">
                                <a:noAutofit/>
                              </wps:bodyPr>
                            </wps:wsp>
                            <wps:wsp>
                              <wps:cNvPr id="55" name="自选图形 711"/>
                              <wps:cNvCnPr/>
                              <wps:spPr bwMode="auto">
                                <a:xfrm>
                                  <a:off x="1460681" y="3130970"/>
                                  <a:ext cx="539709" cy="707"/>
                                </a:xfrm>
                                <a:prstGeom prst="straightConnector1">
                                  <a:avLst/>
                                </a:prstGeom>
                                <a:noFill/>
                                <a:ln w="9525">
                                  <a:solidFill>
                                    <a:srgbClr val="000000"/>
                                  </a:solidFill>
                                  <a:round/>
                                  <a:tailEnd type="triangle" w="med" len="med"/>
                                </a:ln>
                                <a:effectLst/>
                              </wps:spPr>
                              <wps:bodyPr/>
                            </wps:wsp>
                            <wps:wsp>
                              <wps:cNvPr id="56" name="矩形 731"/>
                              <wps:cNvSpPr>
                                <a:spLocks noChangeArrowheads="1"/>
                              </wps:cNvSpPr>
                              <wps:spPr bwMode="auto">
                                <a:xfrm>
                                  <a:off x="1984121" y="2941428"/>
                                  <a:ext cx="941485" cy="279361"/>
                                </a:xfrm>
                                <a:prstGeom prst="rect">
                                  <a:avLst/>
                                </a:prstGeom>
                                <a:solidFill>
                                  <a:srgbClr val="FFFFFF"/>
                                </a:solidFill>
                                <a:ln w="9525">
                                  <a:solidFill>
                                    <a:srgbClr val="000000"/>
                                  </a:solidFill>
                                  <a:miter lim="800000"/>
                                </a:ln>
                                <a:effectLst/>
                              </wps:spPr>
                              <wps:txbx>
                                <w:txbxContent>
                                  <w:p>
                                    <w:pPr>
                                      <w:jc w:val="center"/>
                                    </w:pPr>
                                    <w:r>
                                      <w:rPr>
                                        <w:rFonts w:hint="eastAsia"/>
                                      </w:rPr>
                                      <w:t>绿化用水</w:t>
                                    </w:r>
                                  </w:p>
                                </w:txbxContent>
                              </wps:txbx>
                              <wps:bodyPr rot="0" vert="horz" wrap="square" lIns="91440" tIns="45720" rIns="91440" bIns="45720" anchor="t" anchorCtr="0" upright="1">
                                <a:noAutofit/>
                              </wps:bodyPr>
                            </wps:wsp>
                            <wps:wsp>
                              <wps:cNvPr id="57" name="AutoShape 214"/>
                              <wps:cNvCnPr>
                                <a:cxnSpLocks noChangeShapeType="1"/>
                              </wps:cNvCnPr>
                              <wps:spPr bwMode="auto">
                                <a:xfrm flipV="1">
                                  <a:off x="2428337" y="3846701"/>
                                  <a:ext cx="18391" cy="329576"/>
                                </a:xfrm>
                                <a:prstGeom prst="straightConnector1">
                                  <a:avLst/>
                                </a:prstGeom>
                                <a:noFill/>
                                <a:ln w="9525">
                                  <a:solidFill>
                                    <a:srgbClr val="000000"/>
                                  </a:solidFill>
                                  <a:round/>
                                  <a:tailEnd type="triangle" w="med" len="med"/>
                                </a:ln>
                              </wps:spPr>
                              <wps:bodyPr/>
                            </wps:wsp>
                            <wps:wsp>
                              <wps:cNvPr id="58" name="矩形 741"/>
                              <wps:cNvSpPr>
                                <a:spLocks noChangeArrowheads="1"/>
                              </wps:cNvSpPr>
                              <wps:spPr bwMode="auto">
                                <a:xfrm>
                                  <a:off x="1985535" y="3843872"/>
                                  <a:ext cx="547490" cy="284312"/>
                                </a:xfrm>
                                <a:prstGeom prst="rect">
                                  <a:avLst/>
                                </a:prstGeom>
                                <a:noFill/>
                                <a:ln>
                                  <a:noFill/>
                                </a:ln>
                                <a:effectLst/>
                              </wps:spPr>
                              <wps:txbx>
                                <w:txbxContent>
                                  <w:p>
                                    <w:pPr>
                                      <w:rPr>
                                        <w:szCs w:val="21"/>
                                      </w:rPr>
                                    </w:pPr>
                                    <w:r>
                                      <w:rPr>
                                        <w:color w:val="000000"/>
                                        <w:szCs w:val="21"/>
                                      </w:rPr>
                                      <w:t>24.73</w:t>
                                    </w:r>
                                  </w:p>
                                </w:txbxContent>
                              </wps:txbx>
                              <wps:bodyPr rot="0" vert="horz" wrap="square" lIns="91440" tIns="45720" rIns="91440" bIns="45720" anchor="t" anchorCtr="0" upright="1">
                                <a:noAutofit/>
                              </wps:bodyPr>
                            </wps:wsp>
                            <wps:wsp>
                              <wps:cNvPr id="59" name="自选图形 727"/>
                              <wps:cNvCnPr/>
                              <wps:spPr bwMode="auto">
                                <a:xfrm flipV="1">
                                  <a:off x="2546465" y="2725011"/>
                                  <a:ext cx="468267" cy="216417"/>
                                </a:xfrm>
                                <a:prstGeom prst="straightConnector1">
                                  <a:avLst/>
                                </a:prstGeom>
                                <a:noFill/>
                                <a:ln w="9525">
                                  <a:solidFill>
                                    <a:srgbClr val="000000"/>
                                  </a:solidFill>
                                  <a:prstDash val="dashDot"/>
                                  <a:round/>
                                  <a:tailEnd type="triangle" w="med" len="med"/>
                                </a:ln>
                                <a:effectLst/>
                              </wps:spPr>
                              <wps:bodyPr/>
                            </wps:wsp>
                            <wps:wsp>
                              <wps:cNvPr id="60" name="矩形 880"/>
                              <wps:cNvSpPr>
                                <a:spLocks noChangeArrowheads="1"/>
                              </wps:cNvSpPr>
                              <wps:spPr bwMode="auto">
                                <a:xfrm>
                                  <a:off x="3051514" y="2611145"/>
                                  <a:ext cx="527684" cy="308358"/>
                                </a:xfrm>
                                <a:prstGeom prst="rect">
                                  <a:avLst/>
                                </a:prstGeom>
                                <a:noFill/>
                                <a:ln>
                                  <a:noFill/>
                                </a:ln>
                                <a:effectLst/>
                              </wps:spPr>
                              <wps:txbx>
                                <w:txbxContent>
                                  <w:p>
                                    <w:pPr>
                                      <w:rPr>
                                        <w:szCs w:val="21"/>
                                      </w:rPr>
                                    </w:pPr>
                                    <w:r>
                                      <w:rPr>
                                        <w:color w:val="000000"/>
                                        <w:szCs w:val="21"/>
                                      </w:rPr>
                                      <w:t xml:space="preserve">258 </w:t>
                                    </w:r>
                                    <w:r>
                                      <w:rPr>
                                        <w:rFonts w:hint="eastAsia"/>
                                        <w:color w:val="000000"/>
                                        <w:szCs w:val="21"/>
                                      </w:rPr>
                                      <w:t xml:space="preserve"> </w:t>
                                    </w:r>
                                    <w:r>
                                      <w:rPr>
                                        <w:color w:val="000000"/>
                                        <w:szCs w:val="21"/>
                                      </w:rPr>
                                      <w:t xml:space="preserve"> </w:t>
                                    </w:r>
                                  </w:p>
                                </w:txbxContent>
                              </wps:txbx>
                              <wps:bodyPr rot="0" vert="horz" wrap="square" lIns="91440" tIns="45720" rIns="91440" bIns="45720" anchor="t" anchorCtr="0" upright="1">
                                <a:noAutofit/>
                              </wps:bodyPr>
                            </wps:wsp>
                            <wps:wsp>
                              <wps:cNvPr id="61" name="矩形 740"/>
                              <wps:cNvSpPr>
                                <a:spLocks noChangeArrowheads="1"/>
                              </wps:cNvSpPr>
                              <wps:spPr bwMode="auto">
                                <a:xfrm>
                                  <a:off x="3765232" y="3589971"/>
                                  <a:ext cx="776672" cy="282898"/>
                                </a:xfrm>
                                <a:prstGeom prst="rect">
                                  <a:avLst/>
                                </a:prstGeom>
                                <a:solidFill>
                                  <a:srgbClr val="FFFFFF"/>
                                </a:solidFill>
                                <a:ln w="9525">
                                  <a:solidFill>
                                    <a:srgbClr val="000000"/>
                                  </a:solidFill>
                                  <a:miter lim="800000"/>
                                </a:ln>
                                <a:effectLst/>
                              </wps:spPr>
                              <wps:txbx>
                                <w:txbxContent>
                                  <w:p>
                                    <w:pPr>
                                      <w:jc w:val="center"/>
                                    </w:pPr>
                                    <w:r>
                                      <w:rPr>
                                        <w:rFonts w:hint="eastAsia"/>
                                      </w:rPr>
                                      <w:t>锅炉排污</w:t>
                                    </w:r>
                                  </w:p>
                                  <w:p>
                                    <w:pPr>
                                      <w:jc w:val="center"/>
                                    </w:pPr>
                                  </w:p>
                                </w:txbxContent>
                              </wps:txbx>
                              <wps:bodyPr rot="0" vert="horz" wrap="square" lIns="91440" tIns="45720" rIns="91440" bIns="45720" anchor="t" anchorCtr="0" upright="1">
                                <a:noAutofit/>
                              </wps:bodyPr>
                            </wps:wsp>
                            <wps:wsp>
                              <wps:cNvPr id="62" name="AutoShape 287"/>
                              <wps:cNvCnPr>
                                <a:cxnSpLocks noChangeShapeType="1"/>
                              </wps:cNvCnPr>
                              <wps:spPr bwMode="auto">
                                <a:xfrm>
                                  <a:off x="4113248" y="5070233"/>
                                  <a:ext cx="0" cy="280776"/>
                                </a:xfrm>
                                <a:prstGeom prst="straightConnector1">
                                  <a:avLst/>
                                </a:prstGeom>
                                <a:noFill/>
                                <a:ln w="9525">
                                  <a:solidFill>
                                    <a:srgbClr val="000000"/>
                                  </a:solidFill>
                                  <a:round/>
                                  <a:tailEnd type="triangle" w="med" len="med"/>
                                </a:ln>
                              </wps:spPr>
                              <wps:bodyPr/>
                            </wps:wsp>
                            <wps:wsp>
                              <wps:cNvPr id="63" name="AutoShape 288"/>
                              <wps:cNvCnPr>
                                <a:cxnSpLocks noChangeShapeType="1"/>
                              </wps:cNvCnPr>
                              <wps:spPr bwMode="auto">
                                <a:xfrm flipV="1">
                                  <a:off x="2921361" y="4297922"/>
                                  <a:ext cx="797892" cy="10609"/>
                                </a:xfrm>
                                <a:prstGeom prst="straightConnector1">
                                  <a:avLst/>
                                </a:prstGeom>
                                <a:noFill/>
                                <a:ln w="9525">
                                  <a:solidFill>
                                    <a:srgbClr val="000000"/>
                                  </a:solidFill>
                                  <a:round/>
                                  <a:tailEnd type="triangle" w="med" len="med"/>
                                </a:ln>
                              </wps:spPr>
                              <wps:bodyPr/>
                            </wps:wsp>
                            <wps:wsp>
                              <wps:cNvPr id="64" name="矩形 740"/>
                              <wps:cNvSpPr>
                                <a:spLocks noChangeArrowheads="1"/>
                              </wps:cNvSpPr>
                              <wps:spPr bwMode="auto">
                                <a:xfrm>
                                  <a:off x="3765232" y="4176276"/>
                                  <a:ext cx="785160" cy="251072"/>
                                </a:xfrm>
                                <a:prstGeom prst="rect">
                                  <a:avLst/>
                                </a:prstGeom>
                                <a:solidFill>
                                  <a:srgbClr val="FFFFFF"/>
                                </a:solidFill>
                                <a:ln w="9525">
                                  <a:solidFill>
                                    <a:srgbClr val="000000"/>
                                  </a:solidFill>
                                  <a:miter lim="800000"/>
                                </a:ln>
                                <a:effectLst/>
                              </wps:spPr>
                              <wps:txbx>
                                <w:txbxContent>
                                  <w:p>
                                    <w:pPr>
                                      <w:jc w:val="left"/>
                                    </w:pPr>
                                    <w:r>
                                      <w:rPr>
                                        <w:rFonts w:hint="eastAsia"/>
                                      </w:rPr>
                                      <w:t>循环系统</w:t>
                                    </w:r>
                                  </w:p>
                                </w:txbxContent>
                              </wps:txbx>
                              <wps:bodyPr rot="0" vert="horz" wrap="square" lIns="91440" tIns="45720" rIns="91440" bIns="45720" anchor="t" anchorCtr="0" upright="1">
                                <a:noAutofit/>
                              </wps:bodyPr>
                            </wps:wsp>
                            <wps:wsp>
                              <wps:cNvPr id="65" name="自选图形 714"/>
                              <wps:cNvCnPr/>
                              <wps:spPr bwMode="auto">
                                <a:xfrm>
                                  <a:off x="3208546" y="3759002"/>
                                  <a:ext cx="539709" cy="1414"/>
                                </a:xfrm>
                                <a:prstGeom prst="straightConnector1">
                                  <a:avLst/>
                                </a:prstGeom>
                                <a:noFill/>
                                <a:ln w="9525">
                                  <a:solidFill>
                                    <a:srgbClr val="000000"/>
                                  </a:solidFill>
                                  <a:round/>
                                  <a:tailEnd type="triangle" w="med" len="med"/>
                                </a:ln>
                                <a:effectLst/>
                              </wps:spPr>
                              <wps:bodyPr/>
                            </wps:wsp>
                            <wps:wsp>
                              <wps:cNvPr id="66" name="矩形 716"/>
                              <wps:cNvSpPr>
                                <a:spLocks noChangeArrowheads="1"/>
                              </wps:cNvSpPr>
                              <wps:spPr bwMode="auto">
                                <a:xfrm>
                                  <a:off x="3268671" y="3561681"/>
                                  <a:ext cx="576491" cy="282190"/>
                                </a:xfrm>
                                <a:prstGeom prst="rect">
                                  <a:avLst/>
                                </a:prstGeom>
                                <a:noFill/>
                                <a:ln>
                                  <a:noFill/>
                                </a:ln>
                                <a:effectLst/>
                              </wps:spPr>
                              <wps:txbx>
                                <w:txbxContent>
                                  <w:p>
                                    <w:pPr>
                                      <w:ind w:left="210" w:hanging="210" w:hangingChars="100"/>
                                    </w:pPr>
                                    <w:r>
                                      <w:t>20</w:t>
                                    </w:r>
                                  </w:p>
                                </w:txbxContent>
                              </wps:txbx>
                              <wps:bodyPr rot="0" vert="horz" wrap="square" lIns="91440" tIns="45720" rIns="91440" bIns="45720" anchor="t" anchorCtr="0" upright="1">
                                <a:noAutofit/>
                              </wps:bodyPr>
                            </wps:wsp>
                            <wps:wsp>
                              <wps:cNvPr id="67" name="矩形 716"/>
                              <wps:cNvSpPr>
                                <a:spLocks noChangeArrowheads="1"/>
                              </wps:cNvSpPr>
                              <wps:spPr bwMode="auto">
                                <a:xfrm>
                                  <a:off x="3207839" y="4018561"/>
                                  <a:ext cx="662788" cy="260973"/>
                                </a:xfrm>
                                <a:prstGeom prst="rect">
                                  <a:avLst/>
                                </a:prstGeom>
                                <a:noFill/>
                                <a:ln>
                                  <a:noFill/>
                                </a:ln>
                                <a:effectLst/>
                              </wps:spPr>
                              <wps:txbx>
                                <w:txbxContent>
                                  <w:p>
                                    <w:pPr>
                                      <w:ind w:left="210" w:hanging="210" w:hangingChars="100"/>
                                    </w:pPr>
                                    <w:r>
                                      <w:t>198.88</w:t>
                                    </w:r>
                                  </w:p>
                                </w:txbxContent>
                              </wps:txbx>
                              <wps:bodyPr rot="0" vert="horz" wrap="square" lIns="91440" tIns="45720" rIns="91440" bIns="45720" anchor="t" anchorCtr="0" upright="1">
                                <a:noAutofit/>
                              </wps:bodyPr>
                            </wps:wsp>
                            <wps:wsp>
                              <wps:cNvPr id="68" name="矩形 716"/>
                              <wps:cNvSpPr>
                                <a:spLocks noChangeArrowheads="1"/>
                              </wps:cNvSpPr>
                              <wps:spPr bwMode="auto">
                                <a:xfrm>
                                  <a:off x="3733401" y="5046894"/>
                                  <a:ext cx="439973" cy="304115"/>
                                </a:xfrm>
                                <a:prstGeom prst="rect">
                                  <a:avLst/>
                                </a:prstGeom>
                                <a:noFill/>
                                <a:ln>
                                  <a:noFill/>
                                </a:ln>
                                <a:effectLst/>
                              </wps:spPr>
                              <wps:txbx>
                                <w:txbxContent>
                                  <w:p>
                                    <w:pPr>
                                      <w:ind w:left="210" w:hanging="210" w:hangingChars="100"/>
                                    </w:pPr>
                                    <w:r>
                                      <w:t>3.65</w:t>
                                    </w:r>
                                  </w:p>
                                </w:txbxContent>
                              </wps:txbx>
                              <wps:bodyPr rot="0" vert="horz" wrap="square" lIns="91440" tIns="45720" rIns="91440" bIns="45720" anchor="t" anchorCtr="0" upright="1">
                                <a:noAutofit/>
                              </wps:bodyPr>
                            </wps:wsp>
                            <wps:wsp>
                              <wps:cNvPr id="69" name="矩形 716"/>
                              <wps:cNvSpPr>
                                <a:spLocks noChangeArrowheads="1"/>
                              </wps:cNvSpPr>
                              <wps:spPr bwMode="auto">
                                <a:xfrm>
                                  <a:off x="3845162" y="3297879"/>
                                  <a:ext cx="575077" cy="282898"/>
                                </a:xfrm>
                                <a:prstGeom prst="rect">
                                  <a:avLst/>
                                </a:prstGeom>
                                <a:noFill/>
                                <a:ln>
                                  <a:noFill/>
                                </a:ln>
                                <a:effectLst/>
                              </wps:spPr>
                              <wps:txbx>
                                <w:txbxContent>
                                  <w:p>
                                    <w:pPr>
                                      <w:ind w:left="210" w:leftChars="50" w:hanging="105" w:hangingChars="50"/>
                                    </w:pPr>
                                    <w:r>
                                      <w:t>20</w:t>
                                    </w:r>
                                  </w:p>
                                </w:txbxContent>
                              </wps:txbx>
                              <wps:bodyPr rot="0" vert="horz" wrap="square" lIns="91440" tIns="45720" rIns="91440" bIns="45720" anchor="t" anchorCtr="0" upright="1">
                                <a:noAutofit/>
                              </wps:bodyPr>
                            </wps:wsp>
                            <wps:wsp>
                              <wps:cNvPr id="70" name="矩形 731"/>
                              <wps:cNvSpPr>
                                <a:spLocks noChangeArrowheads="1"/>
                              </wps:cNvSpPr>
                              <wps:spPr bwMode="auto">
                                <a:xfrm>
                                  <a:off x="3051514" y="2372097"/>
                                  <a:ext cx="605493" cy="272289"/>
                                </a:xfrm>
                                <a:prstGeom prst="rect">
                                  <a:avLst/>
                                </a:prstGeom>
                                <a:solidFill>
                                  <a:srgbClr val="FFFFFF"/>
                                </a:solidFill>
                                <a:ln w="9525">
                                  <a:solidFill>
                                    <a:srgbClr val="000000"/>
                                  </a:solidFill>
                                  <a:miter lim="800000"/>
                                </a:ln>
                                <a:effectLst/>
                              </wps:spPr>
                              <wps:txbx>
                                <w:txbxContent>
                                  <w:p>
                                    <w:pPr>
                                      <w:jc w:val="center"/>
                                    </w:pPr>
                                    <w:r>
                                      <w:rPr>
                                        <w:rFonts w:hint="eastAsia"/>
                                      </w:rPr>
                                      <w:t>隔油池</w:t>
                                    </w:r>
                                  </w:p>
                                </w:txbxContent>
                              </wps:txbx>
                              <wps:bodyPr rot="0" vert="horz" wrap="square" lIns="91440" tIns="45720" rIns="91440" bIns="45720" anchor="t" anchorCtr="0" upright="1">
                                <a:noAutofit/>
                              </wps:bodyPr>
                            </wps:wsp>
                            <wps:wsp>
                              <wps:cNvPr id="71" name="AutoShape 208"/>
                              <wps:cNvCnPr>
                                <a:cxnSpLocks noChangeShapeType="1"/>
                              </wps:cNvCnPr>
                              <wps:spPr bwMode="auto">
                                <a:xfrm>
                                  <a:off x="3657007" y="2491621"/>
                                  <a:ext cx="297795" cy="1414"/>
                                </a:xfrm>
                                <a:prstGeom prst="straightConnector1">
                                  <a:avLst/>
                                </a:prstGeom>
                                <a:noFill/>
                                <a:ln w="9525">
                                  <a:solidFill>
                                    <a:srgbClr val="000000"/>
                                  </a:solidFill>
                                  <a:round/>
                                </a:ln>
                              </wps:spPr>
                              <wps:bodyPr/>
                            </wps:wsp>
                            <wps:wsp>
                              <wps:cNvPr id="72" name="AutoShape 301"/>
                              <wps:cNvCnPr>
                                <a:cxnSpLocks noChangeShapeType="1"/>
                              </wps:cNvCnPr>
                              <wps:spPr bwMode="auto">
                                <a:xfrm>
                                  <a:off x="2734621" y="2541835"/>
                                  <a:ext cx="297795" cy="1414"/>
                                </a:xfrm>
                                <a:prstGeom prst="straightConnector1">
                                  <a:avLst/>
                                </a:prstGeom>
                                <a:noFill/>
                                <a:ln w="9525">
                                  <a:solidFill>
                                    <a:srgbClr val="000000"/>
                                  </a:solidFill>
                                  <a:round/>
                                </a:ln>
                              </wps:spPr>
                              <wps:bodyPr/>
                            </wps:wsp>
                            <wps:wsp>
                              <wps:cNvPr id="73" name="AutoShape 205"/>
                              <wps:cNvCnPr>
                                <a:cxnSpLocks noChangeShapeType="1"/>
                              </wps:cNvCnPr>
                              <wps:spPr bwMode="auto">
                                <a:xfrm>
                                  <a:off x="2890238" y="1798522"/>
                                  <a:ext cx="1060320" cy="0"/>
                                </a:xfrm>
                                <a:prstGeom prst="straightConnector1">
                                  <a:avLst/>
                                </a:prstGeom>
                                <a:noFill/>
                                <a:ln w="9525">
                                  <a:solidFill>
                                    <a:srgbClr val="000000"/>
                                  </a:solidFill>
                                  <a:round/>
                                </a:ln>
                              </wps:spPr>
                              <wps:bodyPr/>
                            </wps:wsp>
                            <wps:wsp>
                              <wps:cNvPr id="74" name="AutoShape 302"/>
                              <wps:cNvCnPr>
                                <a:cxnSpLocks noChangeShapeType="1"/>
                              </wps:cNvCnPr>
                              <wps:spPr bwMode="auto">
                                <a:xfrm>
                                  <a:off x="2913580" y="417981"/>
                                  <a:ext cx="1059612" cy="707"/>
                                </a:xfrm>
                                <a:prstGeom prst="straightConnector1">
                                  <a:avLst/>
                                </a:prstGeom>
                                <a:noFill/>
                                <a:ln w="9525">
                                  <a:solidFill>
                                    <a:srgbClr val="000000"/>
                                  </a:solidFill>
                                  <a:round/>
                                </a:ln>
                              </wps:spPr>
                              <wps:bodyPr/>
                            </wps:wsp>
                            <wps:wsp>
                              <wps:cNvPr id="75" name="AutoShape 298"/>
                              <wps:cNvCnPr>
                                <a:cxnSpLocks noChangeShapeType="1"/>
                              </wps:cNvCnPr>
                              <wps:spPr bwMode="auto">
                                <a:xfrm>
                                  <a:off x="3972486" y="417981"/>
                                  <a:ext cx="707" cy="2109002"/>
                                </a:xfrm>
                                <a:prstGeom prst="straightConnector1">
                                  <a:avLst/>
                                </a:prstGeom>
                                <a:noFill/>
                                <a:ln w="9525">
                                  <a:solidFill>
                                    <a:srgbClr val="000000"/>
                                  </a:solidFill>
                                  <a:round/>
                                </a:ln>
                              </wps:spPr>
                              <wps:bodyPr/>
                            </wps:wsp>
                            <wps:wsp>
                              <wps:cNvPr id="76" name="矩形 891"/>
                              <wps:cNvSpPr>
                                <a:spLocks noChangeArrowheads="1"/>
                              </wps:cNvSpPr>
                              <wps:spPr bwMode="auto">
                                <a:xfrm>
                                  <a:off x="3576369" y="2204480"/>
                                  <a:ext cx="647227" cy="322503"/>
                                </a:xfrm>
                                <a:prstGeom prst="rect">
                                  <a:avLst/>
                                </a:prstGeom>
                                <a:noFill/>
                                <a:ln>
                                  <a:noFill/>
                                </a:ln>
                                <a:effectLst/>
                              </wps:spPr>
                              <wps:txbx>
                                <w:txbxContent>
                                  <w:p>
                                    <w:pPr>
                                      <w:rPr>
                                        <w:szCs w:val="21"/>
                                      </w:rPr>
                                    </w:pPr>
                                    <w:r>
                                      <w:rPr>
                                        <w:color w:val="000000"/>
                                        <w:szCs w:val="21"/>
                                      </w:rPr>
                                      <w:t>840.96</w:t>
                                    </w:r>
                                  </w:p>
                                </w:txbxContent>
                              </wps:txbx>
                              <wps:bodyPr rot="0" vert="horz" wrap="square" lIns="91440" tIns="45720" rIns="91440" bIns="45720" anchor="t" anchorCtr="0" upright="1">
                                <a:noAutofit/>
                              </wps:bodyPr>
                            </wps:wsp>
                            <wps:wsp>
                              <wps:cNvPr id="77" name="AutoShape 304"/>
                              <wps:cNvCnPr>
                                <a:cxnSpLocks noChangeShapeType="1"/>
                              </wps:cNvCnPr>
                              <wps:spPr bwMode="auto">
                                <a:xfrm>
                                  <a:off x="2912873" y="1107544"/>
                                  <a:ext cx="1059612" cy="707"/>
                                </a:xfrm>
                                <a:prstGeom prst="straightConnector1">
                                  <a:avLst/>
                                </a:prstGeom>
                                <a:noFill/>
                                <a:ln w="9525">
                                  <a:solidFill>
                                    <a:srgbClr val="000000"/>
                                  </a:solidFill>
                                  <a:round/>
                                </a:ln>
                              </wps:spPr>
                              <wps:bodyPr/>
                            </wps:wsp>
                            <wps:wsp>
                              <wps:cNvPr id="78" name="AutoShape 280"/>
                              <wps:cNvCnPr>
                                <a:cxnSpLocks noChangeShapeType="1"/>
                              </wps:cNvCnPr>
                              <wps:spPr bwMode="auto">
                                <a:xfrm>
                                  <a:off x="3976022" y="1589177"/>
                                  <a:ext cx="563052" cy="707"/>
                                </a:xfrm>
                                <a:prstGeom prst="straightConnector1">
                                  <a:avLst/>
                                </a:prstGeom>
                                <a:noFill/>
                                <a:ln w="9525">
                                  <a:solidFill>
                                    <a:srgbClr val="000000"/>
                                  </a:solidFill>
                                  <a:round/>
                                  <a:tailEnd type="triangle" w="med" len="med"/>
                                </a:ln>
                              </wps:spPr>
                              <wps:bodyPr/>
                            </wps:wsp>
                            <wps:wsp>
                              <wps:cNvPr id="79" name="AutoShape 285"/>
                              <wps:cNvCnPr>
                                <a:cxnSpLocks noChangeShapeType="1"/>
                              </wps:cNvCnPr>
                              <wps:spPr bwMode="auto">
                                <a:xfrm flipV="1">
                                  <a:off x="3193692" y="3771025"/>
                                  <a:ext cx="707" cy="1140077"/>
                                </a:xfrm>
                                <a:prstGeom prst="straightConnector1">
                                  <a:avLst/>
                                </a:prstGeom>
                                <a:noFill/>
                                <a:ln w="9525">
                                  <a:solidFill>
                                    <a:srgbClr val="000000"/>
                                  </a:solidFill>
                                  <a:round/>
                                </a:ln>
                              </wps:spPr>
                              <wps:bodyPr/>
                            </wps:wsp>
                            <wps:wsp>
                              <wps:cNvPr id="80" name="AutoShape 305"/>
                              <wps:cNvCnPr>
                                <a:cxnSpLocks noChangeShapeType="1"/>
                              </wps:cNvCnPr>
                              <wps:spPr bwMode="auto">
                                <a:xfrm flipV="1">
                                  <a:off x="2479974" y="3252616"/>
                                  <a:ext cx="1777574" cy="311895"/>
                                </a:xfrm>
                                <a:prstGeom prst="bentConnector3">
                                  <a:avLst>
                                    <a:gd name="adj1" fmla="val -74"/>
                                  </a:avLst>
                                </a:prstGeom>
                                <a:noFill/>
                                <a:ln w="9525">
                                  <a:solidFill>
                                    <a:srgbClr val="000000"/>
                                  </a:solidFill>
                                  <a:miter lim="800000"/>
                                  <a:tailEnd type="triangle" w="med" len="med"/>
                                </a:ln>
                              </wps:spPr>
                              <wps:bodyPr/>
                            </wps:wsp>
                            <wps:wsp>
                              <wps:cNvPr id="81" name="AutoShape 295"/>
                              <wps:cNvCnPr>
                                <a:cxnSpLocks noChangeShapeType="1"/>
                              </wps:cNvCnPr>
                              <wps:spPr bwMode="auto">
                                <a:xfrm flipV="1">
                                  <a:off x="4266744" y="1616760"/>
                                  <a:ext cx="17684" cy="2063031"/>
                                </a:xfrm>
                                <a:prstGeom prst="straightConnector1">
                                  <a:avLst/>
                                </a:prstGeom>
                                <a:noFill/>
                                <a:ln w="9525">
                                  <a:solidFill>
                                    <a:srgbClr val="000000"/>
                                  </a:solidFill>
                                  <a:round/>
                                  <a:tailEnd type="triangle" w="med" len="med"/>
                                </a:ln>
                              </wps:spPr>
                              <wps:bodyPr/>
                            </wps:wsp>
                            <wps:wsp>
                              <wps:cNvPr id="82" name="矩形 716"/>
                              <wps:cNvSpPr>
                                <a:spLocks noChangeArrowheads="1"/>
                              </wps:cNvSpPr>
                              <wps:spPr bwMode="auto">
                                <a:xfrm>
                                  <a:off x="3188740" y="2938599"/>
                                  <a:ext cx="507878" cy="282190"/>
                                </a:xfrm>
                                <a:prstGeom prst="rect">
                                  <a:avLst/>
                                </a:prstGeom>
                                <a:noFill/>
                                <a:ln>
                                  <a:noFill/>
                                </a:ln>
                                <a:effectLst/>
                              </wps:spPr>
                              <wps:txbx>
                                <w:txbxContent>
                                  <w:p>
                                    <w:pPr>
                                      <w:ind w:left="210" w:hanging="210" w:hangingChars="100"/>
                                    </w:pPr>
                                    <w:r>
                                      <w:t>24.73</w:t>
                                    </w:r>
                                  </w:p>
                                </w:txbxContent>
                              </wps:txbx>
                              <wps:bodyPr rot="0" vert="horz" wrap="square" lIns="91440" tIns="45720" rIns="91440" bIns="45720" anchor="t" anchorCtr="0" upright="1">
                                <a:noAutofit/>
                              </wps:bodyPr>
                            </wps:wsp>
                            <wps:wsp>
                              <wps:cNvPr id="83" name="矩形 716"/>
                              <wps:cNvSpPr>
                                <a:spLocks noChangeArrowheads="1"/>
                              </wps:cNvSpPr>
                              <wps:spPr bwMode="auto">
                                <a:xfrm>
                                  <a:off x="3844455" y="2611145"/>
                                  <a:ext cx="575784" cy="281483"/>
                                </a:xfrm>
                                <a:prstGeom prst="rect">
                                  <a:avLst/>
                                </a:prstGeom>
                                <a:noFill/>
                                <a:ln>
                                  <a:noFill/>
                                </a:ln>
                                <a:effectLst/>
                              </wps:spPr>
                              <wps:txbx>
                                <w:txbxContent>
                                  <w:p>
                                    <w:pPr>
                                      <w:ind w:left="210" w:hanging="210" w:hangingChars="100"/>
                                    </w:pPr>
                                    <w:r>
                                      <w:t>44.73</w:t>
                                    </w:r>
                                  </w:p>
                                </w:txbxContent>
                              </wps:txbx>
                              <wps:bodyPr rot="0" vert="horz" wrap="square" lIns="91440" tIns="45720" rIns="91440" bIns="45720" anchor="t" anchorCtr="0" upright="1">
                                <a:noAutofit/>
                              </wps:bodyPr>
                            </wps:wsp>
                            <wps:wsp>
                              <wps:cNvPr id="84" name="AutoShape 309"/>
                              <wps:cNvCnPr>
                                <a:cxnSpLocks noChangeShapeType="1"/>
                              </wps:cNvCnPr>
                              <wps:spPr bwMode="auto">
                                <a:xfrm>
                                  <a:off x="4945094" y="1678290"/>
                                  <a:ext cx="0" cy="711488"/>
                                </a:xfrm>
                                <a:prstGeom prst="straightConnector1">
                                  <a:avLst/>
                                </a:prstGeom>
                                <a:noFill/>
                                <a:ln w="9525">
                                  <a:solidFill>
                                    <a:srgbClr val="000000"/>
                                  </a:solidFill>
                                  <a:round/>
                                  <a:tailEnd type="triangle" w="med" len="med"/>
                                </a:ln>
                              </wps:spPr>
                              <wps:bodyPr/>
                            </wps:wsp>
                          </wpc:wpc>
                        </a:graphicData>
                      </a:graphic>
                    </wp:inline>
                  </w:drawing>
                </mc:Choice>
                <mc:Fallback>
                  <w:pict>
                    <v:group id="画布 704" o:spid="_x0000_s1026" o:spt="203" style="height:444.45pt;width:417.95pt;" coordsize="5307965,5644515" editas="canvas" o:gfxdata="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">
                      <o:lock v:ext="edit" aspectratio="f"/>
                      <v:shape id="画布 704" o:spid="_x0000_s1026" style="position:absolute;left:0;top:0;height:5644515;width:5307965;" filled="f" stroked="t" coordsize="21600,21600" o:gfxdata="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">
                        <v:fill on="f" focussize="0,0"/>
                        <v:stroke color="#000000" miterlimit="8" joinstyle="miter" dashstyle="1 1"/>
                        <v:imagedata o:title=""/>
                        <o:lock v:ext="edit" aspectratio="t"/>
                      </v:shape>
                      <v:rect id="矩形 706" o:spid="_x0000_s1026" o:spt="1" style="position:absolute;left:171886;top:1670511;height:348671;width:664203;"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ETDRjVAAAABQEAAA8AAAAAAAAAAQAg&#10;AAAAIgAAAGRycy9kb3ducmV2LnhtbFBLAQIUABQAAAAIAIdO4kCdn6aRSgIAAJQEAAAOAAAAAAAA&#10;AAEAIAAAACQBAABkcnMvZTJvRG9jLnhtbFBLBQYAAAAABgAGAFkBAADgBQAAAAA=&#10;">
                        <v:fill on="t" focussize="0,0"/>
                        <v:stroke color="#000000" miterlimit="8" joinstyle="miter"/>
                        <v:imagedata o:title=""/>
                        <o:lock v:ext="edit" aspectratio="f"/>
                        <v:textbox>
                          <w:txbxContent>
                            <w:p>
                              <w:pPr>
                                <w:adjustRightInd w:val="0"/>
                                <w:snapToGrid w:val="0"/>
                                <w:jc w:val="center"/>
                              </w:pPr>
                              <w:r>
                                <w:rPr>
                                  <w:rFonts w:hint="eastAsia"/>
                                </w:rPr>
                                <w:t>新鲜水</w:t>
                              </w:r>
                            </w:p>
                          </w:txbxContent>
                        </v:textbox>
                      </v:rect>
                      <v:shape id="自选图形 707" o:spid="_x0000_s1026" o:spt="32" type="#_x0000_t32" style="position:absolute;left:836089;top:1844493;flip:y;height:707;width:609737;" filled="f" stroked="t" coordsize="21600,21600" o:gfxdata="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PY1tYAAAAFAQAADwAAAAAAAAABACAAAAAiAAAA&#10;ZHJzL2Rvd25yZXYueG1sUEsBAhQAFAAAAAgAh07iQMtJhJAJAgAA2AMAAA4AAAAAAAAAAQAgAAAA&#10;JQEAAGRycy9lMm9Eb2MueG1sUEsFBgAAAAAGAAYAWQEAAKAFAAAAAA==&#10;">
                        <v:fill on="f" focussize="0,0"/>
                        <v:stroke color="#000000" joinstyle="round" endarrow="block"/>
                        <v:imagedata o:title=""/>
                        <o:lock v:ext="edit" aspectratio="f"/>
                      </v:shape>
                      <v:shape id="自选图形 709" o:spid="_x0000_s1026" o:spt="32" type="#_x0000_t32" style="position:absolute;left:1452900;top:432126;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v8KjWAAAABQEAAA8AAAAAAAAAAQAgAAAAIgAAAGRycy9kb3du&#10;cmV2LnhtbFBLAQIUABQAAAAIAIdO4kAbcNIpAQIAAM4DAAAOAAAAAAAAAAEAIAAAACUBAABkcnMv&#10;ZTJvRG9jLnhtbFBLBQYAAAAABgAGAFkBAACYBQAAAAA=&#10;">
                        <v:fill on="f" focussize="0,0"/>
                        <v:stroke color="#000000" joinstyle="round" endarrow="block"/>
                        <v:imagedata o:title=""/>
                        <o:lock v:ext="edit" aspectratio="f"/>
                      </v:shape>
                      <v:shape id="自选图形 710" o:spid="_x0000_s1026" o:spt="32" type="#_x0000_t32" style="position:absolute;left:1460681;top:1106837;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2/wqNYAAAAFAQAADwAAAAAAAAABACAAAAAiAAAAZHJzL2Rv&#10;d25yZXYueG1sUEsBAhQAFAAAAAgAh07iQEvyL0IDAgAAzwMAAA4AAAAAAAAAAQAgAAAAJQEAAGRy&#10;cy9lMm9Eb2MueG1sUEsFBgAAAAAGAAYAWQEAAJoFAAAAAA==&#10;">
                        <v:fill on="f" focussize="0,0"/>
                        <v:stroke color="#000000" joinstyle="round" endarrow="block"/>
                        <v:imagedata o:title=""/>
                        <o:lock v:ext="edit" aspectratio="f"/>
                      </v:shape>
                      <v:shape id="自选图形 711" o:spid="_x0000_s1026" o:spt="32" type="#_x0000_t32" style="position:absolute;left:1457144;top:1843785;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v8KjWAAAABQEAAA8AAAAAAAAAAQAgAAAAIgAAAGRycy9k&#10;b3ducmV2LnhtbFBLAQIUABQAAAAIAIdO4kBXRpikBAIAAM8DAAAOAAAAAAAAAAEAIAAAACUBAABk&#10;cnMvZTJvRG9jLnhtbFBLBQYAAAAABgAGAFkBAACbBQAAAAA=&#10;">
                        <v:fill on="f" focussize="0,0"/>
                        <v:stroke color="#000000" joinstyle="round" endarrow="block"/>
                        <v:imagedata o:title=""/>
                        <o:lock v:ext="edit" aspectratio="f"/>
                      </v:shape>
                      <v:shape id="自选图形 712" o:spid="_x0000_s1026" o:spt="32" type="#_x0000_t32" style="position:absolute;left:1452900;top:2490914;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v8KjWAAAABQEAAA8AAAAAAAAAAQAgAAAAIgAAAGRycy9k&#10;b3ducmV2LnhtbFBLAQIUABQAAAAIAIdO4kC0ow+/BAIAAM8DAAAOAAAAAAAAAAEAIAAAACUBAABk&#10;cnMvZTJvRG9jLnhtbFBLBQYAAAAABgAGAFkBAACbBQAAAAA=&#10;">
                        <v:fill on="f" focussize="0,0"/>
                        <v:stroke color="#000000" joinstyle="round" endarrow="block"/>
                        <v:imagedata o:title=""/>
                        <o:lock v:ext="edit" aspectratio="f"/>
                      </v:shape>
                      <v:shape id="自选图形 714" o:spid="_x0000_s1026" o:spt="32" type="#_x0000_t32" style="position:absolute;left:3193692;top:4889178;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b/Co1gAAAAUBAAAPAAAAAAAAAAEAIAAAACIAAABkcnMv&#10;ZG93bnJldi54bWxQSwECFAAUAAAACACHTuJAm/AtcwUCAADPAwAADgAAAAAAAAABACAAAAAlAQAA&#10;ZHJzL2Uyb0RvYy54bWxQSwUGAAAAAAYABgBZAQAAnAUAAAAA&#10;">
                        <v:fill on="f" focussize="0,0"/>
                        <v:stroke color="#000000" joinstyle="round" endarrow="block"/>
                        <v:imagedata o:title=""/>
                        <o:lock v:ext="edit" aspectratio="f"/>
                      </v:shape>
                      <v:rect id="矩形 719" o:spid="_x0000_s1026" o:spt="1" style="position:absolute;left:1990487;top:933562;height:310480;width:894092;"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ETDRjVAAAABQEAAA8AAAAAAAAAAQAg&#10;AAAAIgAAAGRycy9kb3ducmV2LnhtbFBLAQIUABQAAAAIAIdO4kCV2SEWSgIAAJUEAAAOAAAAAAAA&#10;AAEAIAAAACQBAABkcnMvZTJvRG9jLnhtbFBLBQYAAAAABgAGAFkBAADgBQAAAAA=&#10;">
                        <v:fill on="t" focussize="0,0"/>
                        <v:stroke color="#000000" miterlimit="8" joinstyle="miter"/>
                        <v:imagedata o:title=""/>
                        <o:lock v:ext="edit" aspectratio="f"/>
                        <v:textbox>
                          <w:txbxContent>
                            <w:p>
                              <w:pPr>
                                <w:jc w:val="center"/>
                              </w:pPr>
                              <w:r>
                                <w:rPr>
                                  <w:rFonts w:hint="eastAsia"/>
                                </w:rPr>
                                <w:t>生活用水</w:t>
                              </w:r>
                            </w:p>
                          </w:txbxContent>
                        </v:textbox>
                      </v:rect>
                      <v:rect id="矩形 720" o:spid="_x0000_s1026" o:spt="1" style="position:absolute;left:1464217;top:800600;height:304822;width:479584;"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xfN1gAAAAUB&#10;AAAPAAAAAAAAAAEAIAAAACIAAABkcnMvZG93bnJldi54bWxQSwECFAAUAAAACACHTuJA4vKp6x0C&#10;AAAjBAAADgAAAAAAAAABACAAAAAlAQAAZHJzL2Uyb0RvYy54bWxQSwUGAAAAAAYABgBZAQAAtAUA&#10;AAAA&#10;">
                        <v:fill on="f" focussize="0,0"/>
                        <v:stroke on="f"/>
                        <v:imagedata o:title=""/>
                        <o:lock v:ext="edit" aspectratio="f"/>
                        <v:textbox>
                          <w:txbxContent>
                            <w:p>
                              <w:pPr>
                                <w:rPr>
                                  <w:szCs w:val="21"/>
                                </w:rPr>
                              </w:pPr>
                              <w:r>
                                <w:rPr>
                                  <w:color w:val="000000"/>
                                  <w:szCs w:val="21"/>
                                </w:rPr>
                                <w:t>2190</w:t>
                              </w:r>
                            </w:p>
                          </w:txbxContent>
                        </v:textbox>
                      </v:rect>
                      <v:rect id="矩形 723" o:spid="_x0000_s1026" o:spt="1" style="position:absolute;left:1992609;top:1670511;height:284312;width:879238;"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ETDRjVAAAABQEAAA8AAAAAAAAAAQAg&#10;AAAAIgAAAGRycy9kb3ducmV2LnhtbFBLAQIUABQAAAAIAIdO4kBnwNZaSgIAAJYEAAAOAAAAAAAA&#10;AAEAIAAAACQBAABkcnMvZTJvRG9jLnhtbFBLBQYAAAAABgAGAFkBAADgBQAAAAA=&#10;">
                        <v:fill on="t" focussize="0,0"/>
                        <v:stroke color="#000000" miterlimit="8" joinstyle="miter"/>
                        <v:imagedata o:title=""/>
                        <o:lock v:ext="edit" aspectratio="f"/>
                        <v:textbox>
                          <w:txbxContent>
                            <w:p>
                              <w:pPr>
                                <w:jc w:val="center"/>
                              </w:pPr>
                              <w:r>
                                <w:rPr>
                                  <w:rFonts w:hint="eastAsia"/>
                                </w:rPr>
                                <w:t>门诊用水</w:t>
                              </w:r>
                            </w:p>
                          </w:txbxContent>
                        </v:textbox>
                      </v:rect>
                      <v:rect id="矩形 725" o:spid="_x0000_s1026" o:spt="1" style="position:absolute;left:2929850;top:642178;height:291385;width:888433;"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jL4s&#10;8SACAAAjBAAADgAAAAAAAAABACAAAAAlAQAAZHJzL2Uyb0RvYy54bWxQSwUGAAAAAAYABgBZAQAA&#10;twUAAAAA&#10;">
                        <v:fill on="f" focussize="0,0"/>
                        <v:stroke on="f"/>
                        <v:imagedata o:title=""/>
                        <o:lock v:ext="edit" aspectratio="f"/>
                        <v:textbox>
                          <w:txbxContent>
                            <w:p>
                              <w:pPr>
                                <w:ind w:firstLine="105" w:firstLineChars="50"/>
                                <w:rPr>
                                  <w:szCs w:val="21"/>
                                </w:rPr>
                              </w:pPr>
                              <w:r>
                                <w:rPr>
                                  <w:color w:val="000000"/>
                                  <w:szCs w:val="21"/>
                                </w:rPr>
                                <w:t>438</w:t>
                              </w:r>
                            </w:p>
                          </w:txbxContent>
                        </v:textbox>
                      </v:rect>
                      <v:rect id="矩形 726" o:spid="_x0000_s1026" o:spt="1" style="position:absolute;left:1500292;top:1538963;height:304822;width:525562;"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C/qyBl&#10;HwIAACQEAAAOAAAAAAAAAAEAIAAAACUBAABkcnMvZTJvRG9jLnhtbFBLBQYAAAAABgAGAFkBAAC2&#10;BQAAAAA=&#10;">
                        <v:fill on="f" focussize="0,0"/>
                        <v:stroke on="f"/>
                        <v:imagedata o:title=""/>
                        <o:lock v:ext="edit" aspectratio="f"/>
                        <v:textbox>
                          <w:txbxContent>
                            <w:p>
                              <w:pPr>
                                <w:rPr>
                                  <w:szCs w:val="21"/>
                                </w:rPr>
                              </w:pPr>
                              <w:r>
                                <w:rPr>
                                  <w:color w:val="000000"/>
                                  <w:szCs w:val="21"/>
                                </w:rPr>
                                <w:t>321.2</w:t>
                              </w:r>
                            </w:p>
                          </w:txbxContent>
                        </v:textbox>
                      </v:rect>
                      <v:rect id="矩形 731" o:spid="_x0000_s1026" o:spt="1" style="position:absolute;left:1985535;top:2389778;height:280069;width:749085;"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Ew0Y1QAAAAUBAAAPAAAAAAAAAAEA&#10;IAAAACIAAABkcnMvZG93bnJldi54bWxQSwECFAAUAAAACACHTuJALRKCTUsCAACWBAAADgAAAAAA&#10;AAABACAAAAAkAQAAZHJzL2Uyb0RvYy54bWxQSwUGAAAAAAYABgBZAQAA4QUAAAAA&#10;">
                        <v:fill on="t" focussize="0,0"/>
                        <v:stroke color="#000000" miterlimit="8" joinstyle="miter"/>
                        <v:imagedata o:title=""/>
                        <o:lock v:ext="edit" aspectratio="f"/>
                        <v:textbox>
                          <w:txbxContent>
                            <w:p>
                              <w:pPr>
                                <w:jc w:val="center"/>
                              </w:pPr>
                              <w:r>
                                <w:rPr>
                                  <w:rFonts w:hint="eastAsia"/>
                                </w:rPr>
                                <w:t>食堂用水</w:t>
                              </w:r>
                            </w:p>
                          </w:txbxContent>
                        </v:textbox>
                      </v:rect>
                      <v:rect id="矩形 732" o:spid="_x0000_s1026" o:spt="1" style="position:absolute;left:2902970;top:1966139;height:445564;width:723620;"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Bzv8IC&#10;HwIAACQEAAAOAAAAAAAAAAEAIAAAACUBAABkcnMvZTJvRG9jLnhtbFBLBQYAAAAABgAGAFkBAAC2&#10;BQAAAAA=&#10;">
                        <v:fill on="f" focussize="0,0"/>
                        <v:stroke on="f"/>
                        <v:imagedata o:title=""/>
                        <o:lock v:ext="edit" aspectratio="f"/>
                        <v:textbox>
                          <w:txbxContent>
                            <w:p>
                              <w:r>
                                <w:rPr>
                                  <w:color w:val="000000"/>
                                  <w:sz w:val="24"/>
                                </w:rPr>
                                <w:t>210.24</w:t>
                              </w:r>
                            </w:p>
                          </w:txbxContent>
                        </v:textbox>
                      </v:rect>
                      <v:rect id="矩形 734" o:spid="_x0000_s1026" o:spt="1" style="position:absolute;left:2003219;top:288556;height:285727;width:899751;"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RMNGNUAAAAFAQAADwAAAAAAAAABACAA&#10;AAAiAAAAZHJzL2Rvd25yZXYueG1sUEsBAhQAFAAAAAgAh07iQJ+8+9ZJAgAAlQQAAA4AAAAAAAAA&#10;AQAgAAAAJAEAAGRycy9lMm9Eb2MueG1sUEsFBgAAAAAGAAYAWQEAAN8FAAAAAA==&#10;">
                        <v:fill on="t" focussize="0,0"/>
                        <v:stroke color="#000000" miterlimit="8" joinstyle="miter"/>
                        <v:imagedata o:title=""/>
                        <o:lock v:ext="edit" aspectratio="f"/>
                        <v:textbox>
                          <w:txbxContent>
                            <w:p>
                              <w:pPr>
                                <w:jc w:val="center"/>
                              </w:pPr>
                              <w:r>
                                <w:rPr>
                                  <w:rFonts w:hint="eastAsia"/>
                                </w:rPr>
                                <w:t>床位用水</w:t>
                              </w:r>
                            </w:p>
                          </w:txbxContent>
                        </v:textbox>
                      </v:rect>
                      <v:rect id="矩形 735" o:spid="_x0000_s1026" o:spt="1" style="position:absolute;left:1396312;top:169739;height:332405;width:700985;"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D0RM65&#10;HwIAACMEAAAOAAAAAAAAAAEAIAAAACUBAABkcnMvZTJvRG9jLnhtbFBLBQYAAAAABgAGAFkBAAC2&#10;BQAAAAA=&#10;">
                        <v:fill on="f" focussize="0,0"/>
                        <v:stroke on="f"/>
                        <v:imagedata o:title=""/>
                        <o:lock v:ext="edit" aspectratio="f"/>
                        <v:textbox>
                          <w:txbxContent>
                            <w:p>
                              <w:pPr>
                                <w:rPr>
                                  <w:szCs w:val="21"/>
                                </w:rPr>
                              </w:pPr>
                              <w:r>
                                <w:rPr>
                                  <w:color w:val="000000"/>
                                  <w:szCs w:val="21"/>
                                </w:rPr>
                                <w:t>17344.8</w:t>
                              </w:r>
                            </w:p>
                          </w:txbxContent>
                        </v:textbox>
                      </v:rect>
                      <v:shape id="自选图形 737" o:spid="_x0000_s1026" o:spt="32" type="#_x0000_t32" style="position:absolute;left:2546465;top:143571;flip:y;height:144985;width:408849;" filled="f" stroked="t" coordsize="21600,21600" o:gfxdata="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ytZT1gAAAAUB&#10;AAAPAAAAAAAAAAEAIAAAACIAAABkcnMvZG93bnJldi54bWxQSwECFAAUAAAACACHTuJAqh6ywx0C&#10;AAD+AwAADgAAAAAAAAABACAAAAAlAQAAZHJzL2Uyb0RvYy54bWxQSwUGAAAAAAYABgBZAQAAtAUA&#10;AAAA&#10;">
                        <v:fill on="f" focussize="0,0"/>
                        <v:stroke color="#000000" joinstyle="round" dashstyle="1 1" endcap="square" endarrow="block"/>
                        <v:imagedata o:title=""/>
                        <o:lock v:ext="edit" aspectratio="f"/>
                      </v:shape>
                      <v:rect id="矩形 738" o:spid="_x0000_s1026" o:spt="1" style="position:absolute;left:2929850;top:0;height:306237;width:755451;"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zF83WAAAABQEAAA8A&#10;AAAAAAAAAQAgAAAAIgAAAGRycy9kb3ducmV2LnhtbFBLAQIUABQAAAAIAIdO4kCWUjOOGQIAAB4E&#10;AAAOAAAAAAAAAAEAIAAAACUBAABkcnMvZTJvRG9jLnhtbFBLBQYAAAAABgAGAFkBAACwBQAAAAA=&#10;">
                        <v:fill on="f" focussize="0,0"/>
                        <v:stroke on="f"/>
                        <v:imagedata o:title=""/>
                        <o:lock v:ext="edit" aspectratio="f"/>
                        <v:textbox>
                          <w:txbxContent>
                            <w:p>
                              <w:pPr>
                                <w:rPr>
                                  <w:szCs w:val="21"/>
                                </w:rPr>
                              </w:pPr>
                              <w:r>
                                <w:rPr>
                                  <w:color w:val="000000"/>
                                  <w:szCs w:val="21"/>
                                </w:rPr>
                                <w:t>3468.96</w:t>
                              </w:r>
                            </w:p>
                          </w:txbxContent>
                        </v:textbox>
                      </v:rect>
                      <v:rect id="矩形 740" o:spid="_x0000_s1026" o:spt="1" style="position:absolute;left:3765232;top:4819868;height:250364;width:763940;"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RMNGNUAAAAFAQAADwAAAAAAAAAB&#10;ACAAAAAiAAAAZHJzL2Rvd25yZXYueG1sUEsBAhQAFAAAAAgAh07iQMI1IyBMAgAAlgQAAA4AAAAA&#10;AAAAAQAgAAAAJAEAAGRycy9lMm9Eb2MueG1sUEsFBgAAAAAGAAYAWQEAAOIFAAAAAA==&#10;">
                        <v:fill on="t" focussize="0,0"/>
                        <v:stroke color="#000000" miterlimit="8" joinstyle="miter"/>
                        <v:imagedata o:title=""/>
                        <o:lock v:ext="edit" aspectratio="f"/>
                        <v:textbox>
                          <w:txbxContent>
                            <w:p>
                              <w:pPr>
                                <w:jc w:val="left"/>
                              </w:pPr>
                              <w:r>
                                <w:rPr>
                                  <w:rFonts w:hint="eastAsia"/>
                                </w:rPr>
                                <w:t>检验用水</w:t>
                              </w:r>
                            </w:p>
                          </w:txbxContent>
                        </v:textbox>
                      </v:rect>
                      <v:rect id="矩形 741" o:spid="_x0000_s1026" o:spt="1" style="position:absolute;left:1464217;top:4018561;height:241170;width:621762;"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BKe0a2&#10;HwIAACQEAAAOAAAAAAAAAAEAIAAAACUBAABkcnMvZTJvRG9jLnhtbFBLBQYAAAAABgAGAFkBAAC2&#10;BQAAAAA=&#10;">
                        <v:fill on="f" focussize="0,0"/>
                        <v:stroke on="f"/>
                        <v:imagedata o:title=""/>
                        <o:lock v:ext="edit" aspectratio="f"/>
                        <v:textbox>
                          <w:txbxContent>
                            <w:p>
                              <w:pPr>
                                <w:rPr>
                                  <w:szCs w:val="21"/>
                                </w:rPr>
                              </w:pPr>
                              <w:r>
                                <w:rPr>
                                  <w:color w:val="000000"/>
                                  <w:szCs w:val="21"/>
                                </w:rPr>
                                <w:t>247.26</w:t>
                              </w:r>
                            </w:p>
                          </w:txbxContent>
                        </v:textbox>
                      </v:rect>
                      <v:shape id="自选图形 742" o:spid="_x0000_s1026" o:spt="32" type="#_x0000_t32" style="position:absolute;left:2395799;top:2196700;flip:y;height:167617;width:456949;" filled="f" stroked="t" coordsize="21600,21600" o:gfxdata="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GhZLNYAAAAFAQAADwAA&#10;AAAAAAABACAAAAAiAAAAZHJzL2Rvd25yZXYueG1sUEsBAhQAFAAAAAgAh07iQElbaaAYAgAA9wMA&#10;AA4AAAAAAAAAAQAgAAAAJQEAAGRycy9lMm9Eb2MueG1sUEsFBgAAAAAGAAYAWQEAAK8FAAAAAA==&#10;">
                        <v:fill on="f" focussize="0,0"/>
                        <v:stroke color="#000000" joinstyle="round" dashstyle="dashDot" endarrow="block"/>
                        <v:imagedata o:title=""/>
                        <o:lock v:ext="edit" aspectratio="f"/>
                      </v:shape>
                      <v:rect id="矩形 879" o:spid="_x0000_s1026" o:spt="1" style="position:absolute;left:4510073;top:1401051;height:299164;width:797892;"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RMNGNUAAAAFAQAADwAAAAAAAAAB&#10;ACAAAAAiAAAAZHJzL2Rvd25yZXYueG1sUEsBAhQAFAAAAAgAh07iQLnru79MAgAAlgQAAA4AAAAA&#10;AAAAAQAgAAAAJAEAAGRycy9lMm9Eb2MueG1sUEsFBgAAAAAGAAYAWQEAAOIFAAAAAA==&#10;">
                        <v:fill on="t" focussize="0,0"/>
                        <v:stroke color="#000000" miterlimit="8" joinstyle="miter"/>
                        <v:imagedata o:title=""/>
                        <o:lock v:ext="edit" aspectratio="f"/>
                        <v:textbox>
                          <w:txbxContent>
                            <w:p>
                              <w:pPr>
                                <w:jc w:val="center"/>
                              </w:pPr>
                              <w:r>
                                <w:rPr>
                                  <w:rFonts w:hint="eastAsia"/>
                                </w:rPr>
                                <w:t>化粪池</w:t>
                              </w:r>
                            </w:p>
                          </w:txbxContent>
                        </v:textbox>
                      </v:rect>
                      <v:rect id="矩形 890" o:spid="_x0000_s1026" o:spt="1" style="position:absolute;left:3034538;top:182469;height:298457;width:749792;"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MXzdYAAAAF&#10;AQAADwAAAAAAAAABACAAAAAiAAAAZHJzL2Rvd25yZXYueG1sUEsBAhQAFAAAAAgAh07iQOyotj8e&#10;AgAAIwQAAA4AAAAAAAAAAQAgAAAAJQEAAGRycy9lMm9Eb2MueG1sUEsFBgAAAAAGAAYAWQEAALUF&#10;AAAAAA==&#10;">
                        <v:fill on="f" focussize="0,0"/>
                        <v:stroke on="f"/>
                        <v:imagedata o:title=""/>
                        <o:lock v:ext="edit" aspectratio="f"/>
                        <v:textbox>
                          <w:txbxContent>
                            <w:p>
                              <w:r>
                                <w:t>13875.84</w:t>
                              </w:r>
                            </w:p>
                          </w:txbxContent>
                        </v:textbox>
                      </v:rect>
                      <v:rect id="矩形 891" o:spid="_x0000_s1026" o:spt="1" style="position:absolute;left:836089;top:1540378;height:304822;width:535465;"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ApG0QA&#10;HwIAACMEAAAOAAAAAAAAAAEAIAAAACUBAABkcnMvZTJvRG9jLnhtbFBLBQYAAAAABgAGAFkBAAC2&#10;BQAAAAA=&#10;">
                        <v:fill on="f" focussize="0,0"/>
                        <v:stroke on="f"/>
                        <v:imagedata o:title=""/>
                        <o:lock v:ext="edit" aspectratio="f"/>
                        <v:textbox>
                          <w:txbxContent>
                            <w:p>
                              <w:pPr>
                                <w:rPr>
                                  <w:szCs w:val="21"/>
                                </w:rPr>
                              </w:pPr>
                              <w:r>
                                <w:rPr>
                                  <w:color w:val="000000"/>
                                  <w:szCs w:val="21"/>
                                </w:rPr>
                                <w:t>60.45</w:t>
                              </w:r>
                            </w:p>
                          </w:txbxContent>
                        </v:textbox>
                      </v:rect>
                      <v:rect id="矩形 716" o:spid="_x0000_s1026" o:spt="1" style="position:absolute;left:3254524;top:4623255;height:304115;width:439973;"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BBPwl0&#10;HwIAACQEAAAOAAAAAAAAAAEAIAAAACUBAABkcnMvZTJvRG9jLnhtbFBLBQYAAAAABgAGAFkBAAC2&#10;BQAAAAA=&#10;">
                        <v:fill on="f" focussize="0,0"/>
                        <v:stroke on="f"/>
                        <v:imagedata o:title=""/>
                        <o:lock v:ext="edit" aspectratio="f"/>
                        <v:textbox>
                          <w:txbxContent>
                            <w:p>
                              <w:pPr>
                                <w:ind w:left="210" w:hanging="210" w:hangingChars="100"/>
                              </w:pPr>
                              <w:r>
                                <w:t>3.65</w:t>
                              </w:r>
                            </w:p>
                          </w:txbxContent>
                        </v:textbox>
                      </v:rect>
                      <v:shape id="自选图形 713" o:spid="_x0000_s1026" o:spt="32" type="#_x0000_t32" style="position:absolute;left:1492511;top:4308531;height:1414;width:533343;"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2/wqNYAAAAFAQAADwAAAAAAAAABACAAAAAiAAAAZHJz&#10;L2Rvd25yZXYueG1sUEsBAhQAFAAAAAgAh07iQL6eLkUGAgAA0AMAAA4AAAAAAAAAAQAgAAAAJQEA&#10;AGRycy9lMm9Eb2MueG1sUEsFBgAAAAAGAAYAWQEAAJ0FAAAAAA==&#10;">
                        <v:fill on="f" focussize="0,0"/>
                        <v:stroke color="#000000" joinstyle="round" endarrow="block"/>
                        <v:imagedata o:title=""/>
                        <o:lock v:ext="edit" aspectratio="f"/>
                      </v:shape>
                      <v:shape id="自选图形 737" o:spid="_x0000_s1026" o:spt="32" type="#_x0000_t32" style="position:absolute;left:2605175;top:800600;flip:y;height:132962;width:409556;" filled="f" stroked="t" coordsize="21600,21600" o:gfxdata="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ytZT1gAA&#10;AAUBAAAPAAAAAAAAAAEAIAAAACIAAABkcnMvZG93bnJldi54bWxQSwECFAAUAAAACACHTuJAhuOX&#10;SiACAAD+AwAADgAAAAAAAAABACAAAAAlAQAAZHJzL2Uyb0RvYy54bWxQSwUGAAAAAAYABgBZAQAA&#10;twUAAAAA&#10;">
                        <v:fill on="f" focussize="0,0"/>
                        <v:stroke color="#000000" joinstyle="round" dashstyle="1 1" endcap="square" endarrow="block"/>
                        <v:imagedata o:title=""/>
                        <o:lock v:ext="edit" aspectratio="f"/>
                      </v:shape>
                      <v:rect id="矩形 890" o:spid="_x0000_s1026" o:spt="1" style="position:absolute;left:3032416;top:893249;height:255315;width:510000;"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MXzdYAAAAF&#10;AQAADwAAAAAAAAABACAAAAAiAAAAZHJzL2Rvd25yZXYueG1sUEsBAhQAFAAAAAgAh07iQEY+xQke&#10;AgAAIwQAAA4AAAAAAAAAAQAgAAAAJQEAAGRycy9lMm9Eb2MueG1sUEsFBgAAAAAGAAYAWQEAALUF&#10;AAAAAA==&#10;">
                        <v:fill on="f" focussize="0,0"/>
                        <v:stroke on="f"/>
                        <v:imagedata o:title=""/>
                        <o:lock v:ext="edit" aspectratio="f"/>
                        <v:textbox>
                          <w:txbxContent>
                            <w:p>
                              <w:r>
                                <w:t>1752</w:t>
                              </w:r>
                            </w:p>
                          </w:txbxContent>
                        </v:textbox>
                      </v:rect>
                      <v:rect id="矩形 718" o:spid="_x0000_s1026" o:spt="1" style="position:absolute;left:2925605;top:1341642;height:330990;width:713718;"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CbnXQh&#10;HwIAACQEAAAOAAAAAAAAAAEAIAAAACUBAABkcnMvZTJvRG9jLnhtbFBLBQYAAAAABgAGAFkBAAC2&#10;BQAAAAA=&#10;">
                        <v:fill on="f" focussize="0,0"/>
                        <v:stroke on="f"/>
                        <v:imagedata o:title=""/>
                        <o:lock v:ext="edit" aspectratio="f"/>
                        <v:textbox>
                          <w:txbxContent>
                            <w:p>
                              <w:pPr>
                                <w:rPr>
                                  <w:szCs w:val="21"/>
                                </w:rPr>
                              </w:pPr>
                              <w:r>
                                <w:rPr>
                                  <w:color w:val="000000"/>
                                  <w:szCs w:val="21"/>
                                </w:rPr>
                                <w:t xml:space="preserve">64.24 </w:t>
                              </w:r>
                            </w:p>
                          </w:txbxContent>
                        </v:textbox>
                      </v:rect>
                      <v:rect id="矩形 743" o:spid="_x0000_s1026" o:spt="1" style="position:absolute;left:3051514;top:1589885;height:255315;width:633787;"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79nJ&#10;KiACAAAkBAAADgAAAAAAAAABACAAAAAlAQAAZHJzL2Uyb0RvYy54bWxQSwUGAAAAAAYABgBZAQAA&#10;twUAAAAA&#10;">
                        <v:fill on="f" focussize="0,0"/>
                        <v:stroke on="f"/>
                        <v:imagedata o:title=""/>
                        <o:lock v:ext="edit" aspectratio="f"/>
                        <v:textbox>
                          <w:txbxContent>
                            <w:p>
                              <w:pPr>
                                <w:rPr>
                                  <w:szCs w:val="21"/>
                                </w:rPr>
                              </w:pPr>
                              <w:r>
                                <w:rPr>
                                  <w:color w:val="000000"/>
                                  <w:szCs w:val="21"/>
                                </w:rPr>
                                <w:t xml:space="preserve">256.96    </w:t>
                              </w:r>
                            </w:p>
                          </w:txbxContent>
                        </v:textbox>
                      </v:rect>
                      <v:rect id="矩形 891" o:spid="_x0000_s1026" o:spt="1" style="position:absolute;left:2622152;top:2222161;height:333819;width:681179;"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BXM+7l&#10;HwIAACQEAAAOAAAAAAAAAAEAIAAAACUBAABkcnMvZTJvRG9jLnhtbFBLBQYAAAAABgAGAFkBAAC2&#10;BQAAAAA=&#10;">
                        <v:fill on="f" focussize="0,0"/>
                        <v:stroke on="f"/>
                        <v:imagedata o:title=""/>
                        <o:lock v:ext="edit" aspectratio="f"/>
                        <v:textbox>
                          <w:txbxContent>
                            <w:p>
                              <w:pPr>
                                <w:rPr>
                                  <w:szCs w:val="21"/>
                                </w:rPr>
                              </w:pPr>
                              <w:r>
                                <w:rPr>
                                  <w:color w:val="000000"/>
                                  <w:szCs w:val="21"/>
                                </w:rPr>
                                <w:t>840.96</w:t>
                              </w:r>
                            </w:p>
                          </w:txbxContent>
                        </v:textbox>
                      </v:rect>
                      <v:rect id="矩形 877" o:spid="_x0000_s1026" o:spt="1" style="position:absolute;left:4628200;top:2364317;height:597621;width:679765;"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RMNGNUAAAAFAQAADwAAAAAAAAAB&#10;ACAAAAAiAAAAZHJzL2Rvd25yZXYueG1sUEsBAhQAFAAAAAgAh07iQGF574dMAgAAlgQAAA4AAAAA&#10;AAAAAQAgAAAAJAEAAGRycy9lMm9Eb2MueG1sUEsFBgAAAAAGAAYAWQEAAOIFAAAAAA==&#10;">
                        <v:fill on="t" focussize="0,0"/>
                        <v:stroke color="#000000" miterlimit="8" joinstyle="miter"/>
                        <v:imagedata o:title=""/>
                        <o:lock v:ext="edit" aspectratio="f"/>
                        <v:textbox>
                          <w:txbxContent>
                            <w:p>
                              <w:pPr>
                                <w:jc w:val="center"/>
                              </w:pPr>
                              <w:r>
                                <w:rPr>
                                  <w:rFonts w:hint="eastAsia"/>
                                </w:rPr>
                                <w:t>医院污水处理站</w:t>
                              </w:r>
                              <w:r>
                                <w:t xml:space="preserve"> </w:t>
                              </w:r>
                            </w:p>
                          </w:txbxContent>
                        </v:textbox>
                      </v:rect>
                      <v:shape id="自选图形 737" o:spid="_x0000_s1026" o:spt="32" type="#_x0000_t32" style="position:absolute;left:2516049;top:1540378;flip:y;height:132255;width:409556;" filled="f" stroked="t" coordsize="21600,21600" o:gfxdata="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ytZT1gAA&#10;AAUBAAAPAAAAAAAAAAEAIAAAACIAAABkcnMvZG93bnJldi54bWxQSwECFAAUAAAACACHTuJAv8Ix&#10;JSACAAD/AwAADgAAAAAAAAABACAAAAAlAQAAZHJzL2Uyb0RvYy54bWxQSwUGAAAAAAYABgBZAQAA&#10;twUAAAAA&#10;">
                        <v:fill on="f" focussize="0,0"/>
                        <v:stroke color="#000000" joinstyle="round" dashstyle="1 1" endcap="square" endarrow="block"/>
                        <v:imagedata o:title=""/>
                        <o:lock v:ext="edit" aspectratio="f"/>
                      </v:shape>
                      <v:rect id="矩形 726" o:spid="_x0000_s1026" o:spt="1" style="position:absolute;left:1464217;top:2196700;height:518410;width:592760;"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CQwtVd&#10;HwIAACQEAAAOAAAAAAAAAAEAIAAAACUBAABkcnMvZTJvRG9jLnhtbFBLBQYAAAAABgAGAFkBAAC2&#10;BQAAAAA=&#10;">
                        <v:fill on="f" focussize="0,0"/>
                        <v:stroke on="f"/>
                        <v:imagedata o:title=""/>
                        <o:lock v:ext="edit" aspectratio="f"/>
                        <v:textbox>
                          <w:txbxContent>
                            <w:p>
                              <w:pPr>
                                <w:rPr>
                                  <w:szCs w:val="21"/>
                                </w:rPr>
                              </w:pPr>
                              <w:r>
                                <w:rPr>
                                  <w:color w:val="000000"/>
                                  <w:szCs w:val="21"/>
                                </w:rPr>
                                <w:t>1051.2</w:t>
                              </w:r>
                            </w:p>
                          </w:txbxContent>
                        </v:textbox>
                      </v:rect>
                      <v:shape id="自选图形 84" o:spid="_x0000_s1026" o:spt="32" type="#_x0000_t32" style="position:absolute;left:1428850;top:405958;height:3902573;width:45270;"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6uaZNUA&#10;AAAFAQAADwAAAAAAAAABACAAAAAiAAAAZHJzL2Rvd25yZXYueG1sUEsBAhQAFAAAAAgAh07iQLKi&#10;EPDpAQAAogMAAA4AAAAAAAAAAQAgAAAAJAEAAGRycy9lMm9Eb2MueG1sUEsFBgAAAAAGAAYAWQEA&#10;AH8FAAAAAA==&#10;">
                        <v:fill on="f" focussize="0,0"/>
                        <v:stroke color="#000000" joinstyle="round"/>
                        <v:imagedata o:title=""/>
                        <o:lock v:ext="edit" aspectratio="f"/>
                      </v:shape>
                      <v:rect id="矩形 891" o:spid="_x0000_s1026" o:spt="1" style="position:absolute;left:3892555;top:1321132;height:361402;width:683301;"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RtBx&#10;HyACAAAkBAAADgAAAAAAAAABACAAAAAlAQAAZHJzL2Uyb0RvYy54bWxQSwUGAAAAAAYABgBZAQAA&#10;twUAAAAA&#10;">
                        <v:fill on="f" focussize="0,0"/>
                        <v:stroke on="f"/>
                        <v:imagedata o:title=""/>
                        <o:lock v:ext="edit" aspectratio="f"/>
                        <v:textbox>
                          <w:txbxContent>
                            <w:p>
                              <w:r>
                                <w:t>16725.76</w:t>
                              </w:r>
                            </w:p>
                          </w:txbxContent>
                        </v:textbox>
                      </v:rect>
                      <v:rect id="矩形 891" o:spid="_x0000_s1026" o:spt="1" style="position:absolute;left:4330405;top:1878440;height:383326;width:790112;"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MXzdYAAAAF&#10;AQAADwAAAAAAAAABACAAAAAiAAAAZHJzL2Rvd25yZXYueG1sUEsBAhQAFAAAAAgAh07iQEgr10ge&#10;AgAAJAQAAA4AAAAAAAAAAQAgAAAAJQEAAGRycy9lMm9Eb2MueG1sUEsFBgAAAAAGAAYAWQEAALUF&#10;AAAAAA==&#10;">
                        <v:fill on="f" focussize="0,0"/>
                        <v:stroke on="f"/>
                        <v:imagedata o:title=""/>
                        <o:lock v:ext="edit" aspectratio="f"/>
                        <v:textbox>
                          <w:txbxContent>
                            <w:p>
                              <w:r>
                                <w:t>16770.49</w:t>
                              </w:r>
                            </w:p>
                          </w:txbxContent>
                        </v:textbox>
                      </v:rect>
                      <v:rect id="矩形 877" o:spid="_x0000_s1026" o:spt="1" style="position:absolute;left:4564539;top:3242714;height:641470;width:718669;" fillcolor="#FFFFFF" filled="t" stroked="f" coordsize="21600,21600" o:gfxdata="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6sJG1QAAAAUBAAAPAAAAAAAAAAEAIAAAACIAAABkcnMvZG93bnJldi54&#10;bWxQSwECFAAUAAAACACHTuJAgXgWSTYCAABNBAAADgAAAAAAAAABACAAAAAkAQAAZHJzL2Uyb0Rv&#10;Yy54bWxQSwUGAAAAAAYABgBZAQAAzAUAAAAA&#10;">
                        <v:fill on="t" focussize="0,0"/>
                        <v:stroke on="f"/>
                        <v:imagedata o:title=""/>
                        <o:lock v:ext="edit" aspectratio="f"/>
                        <v:textbox>
                          <w:txbxContent>
                            <w:p>
                              <w:pPr>
                                <w:jc w:val="center"/>
                              </w:pPr>
                              <w:r>
                                <w:rPr>
                                  <w:rFonts w:hint="eastAsia"/>
                                  <w:color w:val="000000"/>
                                  <w:szCs w:val="21"/>
                                </w:rPr>
                                <w:t>马蹄沟产业园区污水处理厂</w:t>
                              </w:r>
                            </w:p>
                          </w:txbxContent>
                        </v:textbox>
                      </v:rect>
                      <v:rect id="矩形 740" o:spid="_x0000_s1026" o:spt="1" style="position:absolute;left:2000390;top:4165668;height:284312;width:900458;"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ETDRjVAAAABQEAAA8AAAAAAAAA&#10;AQAgAAAAIgAAAGRycy9kb3ducmV2LnhtbFBLAQIUABQAAAAIAIdO4kBA+RQ8TQIAAJYEAAAOAAAA&#10;AAAAAAEAIAAAACQBAABkcnMvZTJvRG9jLnhtbFBLBQYAAAAABgAGAFkBAADjBQAAAAA=&#10;">
                        <v:fill on="t" focussize="0,0"/>
                        <v:stroke color="#000000" miterlimit="8" joinstyle="miter"/>
                        <v:imagedata o:title=""/>
                        <o:lock v:ext="edit" aspectratio="f"/>
                        <v:textbox>
                          <w:txbxContent>
                            <w:p>
                              <w:pPr>
                                <w:jc w:val="center"/>
                              </w:pPr>
                              <w:r>
                                <w:rPr>
                                  <w:rFonts w:hint="eastAsia"/>
                                </w:rPr>
                                <w:t>纯水制备</w:t>
                              </w:r>
                            </w:p>
                            <w:p>
                              <w:pPr>
                                <w:jc w:val="center"/>
                              </w:pPr>
                            </w:p>
                          </w:txbxContent>
                        </v:textbox>
                      </v:rect>
                      <v:shape id="自选图形 106" o:spid="_x0000_s1026" o:spt="32" type="#_x0000_t32" style="position:absolute;left:4945094;top:2961938;height:258851;width:0;"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2/wqNYAAAAFAQAADwAAAAAAAAABACAAAAAiAAAAZHJzL2Rv&#10;d25yZXYueG1sUEsBAhQAFAAAAAgAh07iQM+3W5ADAgAAzQMAAA4AAAAAAAAAAQAgAAAAJQEAAGRy&#10;cy9lMm9Eb2MueG1sUEsFBgAAAAAGAAYAWQEAAJoFAAAAAA==&#10;">
                        <v:fill on="f" focussize="0,0"/>
                        <v:stroke color="#000000" joinstyle="round" endarrow="block"/>
                        <v:imagedata o:title=""/>
                        <o:lock v:ext="edit" aspectratio="f"/>
                      </v:shape>
                      <v:rect id="矩形 880" o:spid="_x0000_s1026" o:spt="1" style="position:absolute;left:1469169;top:2807759;height:413031;width:527684;"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J0Mz&#10;uSACAAAkBAAADgAAAAAAAAABACAAAAAlAQAAZHJzL2Uyb0RvYy54bWxQSwUGAAAAAAYABgBZAQAA&#10;twUAAAAA&#10;">
                        <v:fill on="f" focussize="0,0"/>
                        <v:stroke on="f"/>
                        <v:imagedata o:title=""/>
                        <o:lock v:ext="edit" aspectratio="f"/>
                        <v:textbox>
                          <w:txbxContent>
                            <w:p>
                              <w:pPr>
                                <w:rPr>
                                  <w:szCs w:val="21"/>
                                </w:rPr>
                              </w:pPr>
                              <w:r>
                                <w:rPr>
                                  <w:color w:val="000000"/>
                                  <w:szCs w:val="21"/>
                                </w:rPr>
                                <w:t xml:space="preserve">258 </w:t>
                              </w:r>
                              <w:r>
                                <w:rPr>
                                  <w:rFonts w:hint="eastAsia"/>
                                  <w:color w:val="000000"/>
                                  <w:szCs w:val="21"/>
                                </w:rPr>
                                <w:t xml:space="preserve"> </w:t>
                              </w:r>
                              <w:r>
                                <w:rPr>
                                  <w:color w:val="000000"/>
                                  <w:szCs w:val="21"/>
                                </w:rPr>
                                <w:t xml:space="preserve"> </w:t>
                              </w:r>
                            </w:p>
                          </w:txbxContent>
                        </v:textbox>
                      </v:rect>
                      <v:rect id="矩形 740" o:spid="_x0000_s1026" o:spt="1" style="position:absolute;left:3701570;top:5326962;height:317553;width:896214;"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MXzdYAAAAF&#10;AQAADwAAAAAAAAABACAAAAAiAAAAZHJzL2Rvd25yZXYueG1sUEsBAhQAFAAAAAgAh07iQGp7Lo4e&#10;AgAAJAQAAA4AAAAAAAAAAQAgAAAAJQEAAGRycy9lMm9Eb2MueG1sUEsFBgAAAAAGAAYAWQEAALUF&#10;AAAAAA==&#10;">
                        <v:fill on="f" focussize="0,0"/>
                        <v:stroke on="f"/>
                        <v:imagedata o:title=""/>
                        <o:lock v:ext="edit" aspectratio="f"/>
                        <v:textbox>
                          <w:txbxContent>
                            <w:p>
                              <w:r>
                                <w:rPr>
                                  <w:rFonts w:hint="eastAsia"/>
                                </w:rPr>
                                <w:t>危险废物</w:t>
                              </w:r>
                            </w:p>
                          </w:txbxContent>
                        </v:textbox>
                      </v:rect>
                      <v:rect id="矩形 740" o:spid="_x0000_s1026" o:spt="1" style="position:absolute;left:2120640;top:3572290;height:263802;width:695326;"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Ew0Y1QAAAAUBAAAPAAAAAAAAAAEA&#10;IAAAACIAAABkcnMvZG93bnJldi54bWxQSwECFAAUAAAACACHTuJAe78VvksCAACWBAAADgAAAAAA&#10;AAABACAAAAAkAQAAZHJzL2Uyb0RvYy54bWxQSwUGAAAAAAYABgBZAQAA4QUAAAAA&#10;">
                        <v:fill on="t" focussize="0,0"/>
                        <v:stroke color="#000000" miterlimit="8" joinstyle="miter"/>
                        <v:imagedata o:title=""/>
                        <o:lock v:ext="edit" aspectratio="f"/>
                        <v:textbox>
                          <w:txbxContent>
                            <w:p>
                              <w:pPr>
                                <w:jc w:val="center"/>
                              </w:pPr>
                              <w:r>
                                <w:rPr>
                                  <w:rFonts w:hint="eastAsia"/>
                                </w:rPr>
                                <w:t>浓水</w:t>
                              </w:r>
                            </w:p>
                          </w:txbxContent>
                        </v:textbox>
                      </v:rect>
                      <v:shape id="自选图形 711" o:spid="_x0000_s1026" o:spt="32" type="#_x0000_t32" style="position:absolute;left:1460681;top:3130970;height:707;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v8KjWAAAABQEAAA8AAAAAAAAAAQAgAAAAIgAAAGRycy9k&#10;b3ducmV2LnhtbFBLAQIUABQAAAAIAIdO4kDbGFfjBAIAAM8DAAAOAAAAAAAAAAEAIAAAACUBAABk&#10;cnMvZTJvRG9jLnhtbFBLBQYAAAAABgAGAFkBAACbBQAAAAA=&#10;">
                        <v:fill on="f" focussize="0,0"/>
                        <v:stroke color="#000000" joinstyle="round" endarrow="block"/>
                        <v:imagedata o:title=""/>
                        <o:lock v:ext="edit" aspectratio="f"/>
                      </v:shape>
                      <v:rect id="矩形 731" o:spid="_x0000_s1026" o:spt="1" style="position:absolute;left:1984121;top:2941428;height:279361;width:941485;"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Ew0Y1QAAAAUBAAAPAAAAAAAAAAEA&#10;IAAAACIAAABkcnMvZG93bnJldi54bWxQSwECFAAUAAAACACHTuJA9rbDI0sCAACWBAAADgAAAAAA&#10;AAABACAAAAAkAQAAZHJzL2Uyb0RvYy54bWxQSwUGAAAAAAYABgBZAQAA4QUAAAAA&#10;">
                        <v:fill on="t" focussize="0,0"/>
                        <v:stroke color="#000000" miterlimit="8" joinstyle="miter"/>
                        <v:imagedata o:title=""/>
                        <o:lock v:ext="edit" aspectratio="f"/>
                        <v:textbox>
                          <w:txbxContent>
                            <w:p>
                              <w:pPr>
                                <w:jc w:val="center"/>
                              </w:pPr>
                              <w:r>
                                <w:rPr>
                                  <w:rFonts w:hint="eastAsia"/>
                                </w:rPr>
                                <w:t>绿化用水</w:t>
                              </w:r>
                            </w:p>
                          </w:txbxContent>
                        </v:textbox>
                      </v:rect>
                      <v:shape id="AutoShape 214" o:spid="_x0000_s1026" o:spt="32" type="#_x0000_t32" style="position:absolute;left:2428337;top:3846701;flip:y;height:329576;width:18391;" filled="f" stroked="t" coordsize="21600,21600" o:gfxdata="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Pz2NbWAAAABQEAAA8AAAAAAAAAAQAgAAAAIgAAAGRy&#10;cy9kb3ducmV2LnhtbFBLAQIUABQAAAAIAIdO4kBPCrVcBwIAAPwDAAAOAAAAAAAAAAEAIAAAACUB&#10;AABkcnMvZTJvRG9jLnhtbFBLBQYAAAAABgAGAFkBAACeBQAAAAA=&#10;">
                        <v:fill on="f" focussize="0,0"/>
                        <v:stroke color="#000000" joinstyle="round" endarrow="block"/>
                        <v:imagedata o:title=""/>
                        <o:lock v:ext="edit" aspectratio="f"/>
                      </v:shape>
                      <v:rect id="矩形 741" o:spid="_x0000_s1026" o:spt="1" style="position:absolute;left:1985535;top:3843872;height:284312;width:547490;"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ChjTdF&#10;HwIAACQEAAAOAAAAAAAAAAEAIAAAACUBAABkcnMvZTJvRG9jLnhtbFBLBQYAAAAABgAGAFkBAAC2&#10;BQAAAAA=&#10;">
                        <v:fill on="f" focussize="0,0"/>
                        <v:stroke on="f"/>
                        <v:imagedata o:title=""/>
                        <o:lock v:ext="edit" aspectratio="f"/>
                        <v:textbox>
                          <w:txbxContent>
                            <w:p>
                              <w:pPr>
                                <w:rPr>
                                  <w:szCs w:val="21"/>
                                </w:rPr>
                              </w:pPr>
                              <w:r>
                                <w:rPr>
                                  <w:color w:val="000000"/>
                                  <w:szCs w:val="21"/>
                                </w:rPr>
                                <w:t>24.73</w:t>
                              </w:r>
                            </w:p>
                          </w:txbxContent>
                        </v:textbox>
                      </v:rect>
                      <v:shape id="自选图形 727" o:spid="_x0000_s1026" o:spt="32" type="#_x0000_t32" style="position:absolute;left:2546465;top:2725011;flip:y;height:216417;width:468267;" filled="f" stroked="t" coordsize="21600,21600" o:gfxdata="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aFks1gAAAAUBAAAP&#10;AAAAAAAAAAEAIAAAACIAAABkcnMvZG93bnJldi54bWxQSwECFAAUAAAACACHTuJACTMd6xoCAAD3&#10;AwAADgAAAAAAAAABACAAAAAlAQAAZHJzL2Uyb0RvYy54bWxQSwUGAAAAAAYABgBZAQAAsQUAAAAA&#10;">
                        <v:fill on="f" focussize="0,0"/>
                        <v:stroke color="#000000" joinstyle="round" dashstyle="dashDot" endarrow="block"/>
                        <v:imagedata o:title=""/>
                        <o:lock v:ext="edit" aspectratio="f"/>
                      </v:shape>
                      <v:rect id="矩形 880" o:spid="_x0000_s1026" o:spt="1" style="position:absolute;left:3051514;top:2611145;height:308358;width:527684;"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LJgW&#10;gyACAAAkBAAADgAAAAAAAAABACAAAAAlAQAAZHJzL2Uyb0RvYy54bWxQSwUGAAAAAAYABgBZAQAA&#10;twUAAAAA&#10;">
                        <v:fill on="f" focussize="0,0"/>
                        <v:stroke on="f"/>
                        <v:imagedata o:title=""/>
                        <o:lock v:ext="edit" aspectratio="f"/>
                        <v:textbox>
                          <w:txbxContent>
                            <w:p>
                              <w:pPr>
                                <w:rPr>
                                  <w:szCs w:val="21"/>
                                </w:rPr>
                              </w:pPr>
                              <w:r>
                                <w:rPr>
                                  <w:color w:val="000000"/>
                                  <w:szCs w:val="21"/>
                                </w:rPr>
                                <w:t xml:space="preserve">258 </w:t>
                              </w:r>
                              <w:r>
                                <w:rPr>
                                  <w:rFonts w:hint="eastAsia"/>
                                  <w:color w:val="000000"/>
                                  <w:szCs w:val="21"/>
                                </w:rPr>
                                <w:t xml:space="preserve"> </w:t>
                              </w:r>
                              <w:r>
                                <w:rPr>
                                  <w:color w:val="000000"/>
                                  <w:szCs w:val="21"/>
                                </w:rPr>
                                <w:t xml:space="preserve"> </w:t>
                              </w:r>
                            </w:p>
                          </w:txbxContent>
                        </v:textbox>
                      </v:rect>
                      <v:rect id="矩形 740" o:spid="_x0000_s1026" o:spt="1" style="position:absolute;left:3765232;top:3589971;height:282898;width:776672;"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ETDRjVAAAABQEAAA8AAAAAAAAA&#10;AQAgAAAAIgAAAGRycy9kb3ducmV2LnhtbFBLAQIUABQAAAAIAIdO4kA8lcQdTQIAAJYEAAAOAAAA&#10;AAAAAAEAIAAAACQBAABkcnMvZTJvRG9jLnhtbFBLBQYAAAAABgAGAFkBAADjBQAAAAA=&#10;">
                        <v:fill on="t" focussize="0,0"/>
                        <v:stroke color="#000000" miterlimit="8" joinstyle="miter"/>
                        <v:imagedata o:title=""/>
                        <o:lock v:ext="edit" aspectratio="f"/>
                        <v:textbox>
                          <w:txbxContent>
                            <w:p>
                              <w:pPr>
                                <w:jc w:val="center"/>
                              </w:pPr>
                              <w:r>
                                <w:rPr>
                                  <w:rFonts w:hint="eastAsia"/>
                                </w:rPr>
                                <w:t>锅炉排污</w:t>
                              </w:r>
                            </w:p>
                            <w:p>
                              <w:pPr>
                                <w:jc w:val="center"/>
                              </w:pPr>
                            </w:p>
                          </w:txbxContent>
                        </v:textbox>
                      </v:rect>
                      <v:shape id="AutoShape 287" o:spid="_x0000_s1026" o:spt="32" type="#_x0000_t32" style="position:absolute;left:4113248;top:5070233;height:280776;width:0;"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2/wqNYAAAAFAQAADwAAAAAAAAABACAAAAAiAAAAZHJzL2Rvd25y&#10;ZXYueG1sUEsBAhQAFAAAAAgAh07iQIx0CHsAAgAA7gMAAA4AAAAAAAAAAQAgAAAAJQEAAGRycy9l&#10;Mm9Eb2MueG1sUEsFBgAAAAAGAAYAWQEAAJcFAAAAAA==&#10;">
                        <v:fill on="f" focussize="0,0"/>
                        <v:stroke color="#000000" joinstyle="round" endarrow="block"/>
                        <v:imagedata o:title=""/>
                        <o:lock v:ext="edit" aspectratio="f"/>
                      </v:shape>
                      <v:shape id="AutoShape 288" o:spid="_x0000_s1026" o:spt="32" type="#_x0000_t32" style="position:absolute;left:2921361;top:4297922;flip:y;height:10609;width:797892;" filled="f" stroked="t" coordsize="21600,21600" o:gfxdata="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PY1tYAAAAFAQAADwAAAAAAAAABACAAAAAiAAAA&#10;ZHJzL2Rvd25yZXYueG1sUEsBAhQAFAAAAAgAh07iQKbipm8JAgAA/AMAAA4AAAAAAAAAAQAgAAAA&#10;JQEAAGRycy9lMm9Eb2MueG1sUEsFBgAAAAAGAAYAWQEAAKAFAAAAAA==&#10;">
                        <v:fill on="f" focussize="0,0"/>
                        <v:stroke color="#000000" joinstyle="round" endarrow="block"/>
                        <v:imagedata o:title=""/>
                        <o:lock v:ext="edit" aspectratio="f"/>
                      </v:shape>
                      <v:rect id="矩形 740" o:spid="_x0000_s1026" o:spt="1" style="position:absolute;left:3765232;top:4176276;height:251072;width:785160;"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REw0Y1QAAAAUBAAAPAAAAAAAA&#10;AAEAIAAAACIAAABkcnMvZG93bnJldi54bWxQSwECFAAUAAAACACHTuJAch1LGE4CAACWBAAADgAA&#10;AAAAAAABACAAAAAkAQAAZHJzL2Uyb0RvYy54bWxQSwUGAAAAAAYABgBZAQAA5AUAAAAA&#10;">
                        <v:fill on="t" focussize="0,0"/>
                        <v:stroke color="#000000" miterlimit="8" joinstyle="miter"/>
                        <v:imagedata o:title=""/>
                        <o:lock v:ext="edit" aspectratio="f"/>
                        <v:textbox>
                          <w:txbxContent>
                            <w:p>
                              <w:pPr>
                                <w:jc w:val="left"/>
                              </w:pPr>
                              <w:r>
                                <w:rPr>
                                  <w:rFonts w:hint="eastAsia"/>
                                </w:rPr>
                                <w:t>循环系统</w:t>
                              </w:r>
                            </w:p>
                          </w:txbxContent>
                        </v:textbox>
                      </v:rect>
                      <v:shape id="自选图形 714" o:spid="_x0000_s1026" o:spt="32" type="#_x0000_t32" style="position:absolute;left:3208546;top:3759002;height:1414;width:539709;"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2/wqNYAAAAFAQAADwAAAAAAAAABACAAAAAiAAAAZHJz&#10;L2Rvd25yZXYueG1sUEsBAhQAFAAAAAgAh07iQASgoykGAgAA0AMAAA4AAAAAAAAAAQAgAAAAJQEA&#10;AGRycy9lMm9Eb2MueG1sUEsFBgAAAAAGAAYAWQEAAJ0FAAAAAA==&#10;">
                        <v:fill on="f" focussize="0,0"/>
                        <v:stroke color="#000000" joinstyle="round" endarrow="block"/>
                        <v:imagedata o:title=""/>
                        <o:lock v:ext="edit" aspectratio="f"/>
                      </v:shape>
                      <v:rect id="矩形 716" o:spid="_x0000_s1026" o:spt="1" style="position:absolute;left:3268671;top:3561681;height:282190;width:576491;"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DnkQC3&#10;HwIAACQEAAAOAAAAAAAAAAEAIAAAACUBAABkcnMvZTJvRG9jLnhtbFBLBQYAAAAABgAGAFkBAAC2&#10;BQAAAAA=&#10;">
                        <v:fill on="f" focussize="0,0"/>
                        <v:stroke on="f"/>
                        <v:imagedata o:title=""/>
                        <o:lock v:ext="edit" aspectratio="f"/>
                        <v:textbox>
                          <w:txbxContent>
                            <w:p>
                              <w:pPr>
                                <w:ind w:left="210" w:hanging="210" w:hangingChars="100"/>
                              </w:pPr>
                              <w:r>
                                <w:t>20</w:t>
                              </w:r>
                            </w:p>
                          </w:txbxContent>
                        </v:textbox>
                      </v:rect>
                      <v:rect id="矩形 716" o:spid="_x0000_s1026" o:spt="1" style="position:absolute;left:3207839;top:4018561;height:260973;width:662788;"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zF83W&#10;AAAABQEAAA8AAAAAAAAAAQAgAAAAIgAAAGRycy9kb3ducmV2LnhtbFBLAQIUABQAAAAIAIdO4kCb&#10;Ce8UIgIAACQEAAAOAAAAAAAAAAEAIAAAACUBAABkcnMvZTJvRG9jLnhtbFBLBQYAAAAABgAGAFkB&#10;AAC5BQAAAAA=&#10;">
                        <v:fill on="f" focussize="0,0"/>
                        <v:stroke on="f"/>
                        <v:imagedata o:title=""/>
                        <o:lock v:ext="edit" aspectratio="f"/>
                        <v:textbox>
                          <w:txbxContent>
                            <w:p>
                              <w:pPr>
                                <w:ind w:left="210" w:hanging="210" w:hangingChars="100"/>
                              </w:pPr>
                              <w:r>
                                <w:t>198.88</w:t>
                              </w:r>
                            </w:p>
                          </w:txbxContent>
                        </v:textbox>
                      </v:rect>
                      <v:rect id="矩形 716" o:spid="_x0000_s1026" o:spt="1" style="position:absolute;left:3733401;top:5046894;height:304115;width:439973;"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HMXzdYA&#10;AAAFAQAADwAAAAAAAAABACAAAAAiAAAAZHJzL2Rvd25yZXYueG1sUEsBAhQAFAAAAAgAh07iQL4R&#10;6ukhAgAAJAQAAA4AAAAAAAAAAQAgAAAAJQEAAGRycy9lMm9Eb2MueG1sUEsFBgAAAAAGAAYAWQEA&#10;ALgFAAAAAA==&#10;">
                        <v:fill on="f" focussize="0,0"/>
                        <v:stroke on="f"/>
                        <v:imagedata o:title=""/>
                        <o:lock v:ext="edit" aspectratio="f"/>
                        <v:textbox>
                          <w:txbxContent>
                            <w:p>
                              <w:pPr>
                                <w:ind w:left="210" w:hanging="210" w:hangingChars="100"/>
                              </w:pPr>
                              <w:r>
                                <w:t>3.65</w:t>
                              </w:r>
                            </w:p>
                          </w:txbxContent>
                        </v:textbox>
                      </v:rect>
                      <v:rect id="矩形 716" o:spid="_x0000_s1026" o:spt="1" style="position:absolute;left:3845162;top:3297879;height:282898;width:575077;"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k4dp&#10;fyACAAAkBAAADgAAAAAAAAABACAAAAAlAQAAZHJzL2Uyb0RvYy54bWxQSwUGAAAAAAYABgBZAQAA&#10;twUAAAAA&#10;">
                        <v:fill on="f" focussize="0,0"/>
                        <v:stroke on="f"/>
                        <v:imagedata o:title=""/>
                        <o:lock v:ext="edit" aspectratio="f"/>
                        <v:textbox>
                          <w:txbxContent>
                            <w:p>
                              <w:pPr>
                                <w:ind w:left="210" w:leftChars="50" w:hanging="105" w:hangingChars="50"/>
                              </w:pPr>
                              <w:r>
                                <w:t>20</w:t>
                              </w:r>
                            </w:p>
                          </w:txbxContent>
                        </v:textbox>
                      </v:rect>
                      <v:rect id="矩形 731" o:spid="_x0000_s1026" o:spt="1" style="position:absolute;left:3051514;top:2372097;height:272289;width:605493;" fillcolor="#FFFFFF" filled="t" stroked="t" coordsize="21600,21600" o:gfxdata="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RMNGNUAAAAFAQAADwAAAAAAAAAB&#10;ACAAAAAiAAAAZHJzL2Rvd25yZXYueG1sUEsBAhQAFAAAAAgAh07iQGSxNJ9MAgAAlgQAAA4AAAAA&#10;AAAAAQAgAAAAJAEAAGRycy9lMm9Eb2MueG1sUEsFBgAAAAAGAAYAWQEAAOIFAAAAAA==&#10;">
                        <v:fill on="t" focussize="0,0"/>
                        <v:stroke color="#000000" miterlimit="8" joinstyle="miter"/>
                        <v:imagedata o:title=""/>
                        <o:lock v:ext="edit" aspectratio="f"/>
                        <v:textbox>
                          <w:txbxContent>
                            <w:p>
                              <w:pPr>
                                <w:jc w:val="center"/>
                              </w:pPr>
                              <w:r>
                                <w:rPr>
                                  <w:rFonts w:hint="eastAsia"/>
                                </w:rPr>
                                <w:t>隔油池</w:t>
                              </w:r>
                            </w:p>
                          </w:txbxContent>
                        </v:textbox>
                      </v:rect>
                      <v:shape id="AutoShape 208" o:spid="_x0000_s1026" o:spt="32" type="#_x0000_t32" style="position:absolute;left:3657007;top:2491621;height:1414;width:297795;"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6uaZNUA&#10;AAAFAQAADwAAAAAAAAABACAAAAAiAAAAZHJzL2Rvd25yZXYueG1sUEsBAhQAFAAAAAgAh07iQIwi&#10;llXpAQAAwwMAAA4AAAAAAAAAAQAgAAAAJAEAAGRycy9lMm9Eb2MueG1sUEsFBgAAAAAGAAYAWQEA&#10;AH8FAAAAAA==&#10;">
                        <v:fill on="f" focussize="0,0"/>
                        <v:stroke color="#000000" joinstyle="round"/>
                        <v:imagedata o:title=""/>
                        <o:lock v:ext="edit" aspectratio="f"/>
                      </v:shape>
                      <v:shape id="AutoShape 301" o:spid="_x0000_s1026" o:spt="32" type="#_x0000_t32" style="position:absolute;left:2734621;top:2541835;height:1414;width:297795;"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ermmTVAAAA&#10;BQEAAA8AAAAAAAAAAQAgAAAAIgAAAGRycy9kb3ducmV2LnhtbFBLAQIUABQAAAAIAIdO4kA32qfC&#10;5wEAAMMDAAAOAAAAAAAAAAEAIAAAACQBAABkcnMvZTJvRG9jLnhtbFBLBQYAAAAABgAGAFkBAAB9&#10;BQAAAAA=&#10;">
                        <v:fill on="f" focussize="0,0"/>
                        <v:stroke color="#000000" joinstyle="round"/>
                        <v:imagedata o:title=""/>
                        <o:lock v:ext="edit" aspectratio="f"/>
                      </v:shape>
                      <v:shape id="AutoShape 205" o:spid="_x0000_s1026" o:spt="32" type="#_x0000_t32" style="position:absolute;left:2890238;top:1798522;height:0;width:1060320;"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ermmTVAAAA&#10;BQEAAA8AAAAAAAAAAQAgAAAAIgAAAGRycy9kb3ducmV2LnhtbFBLAQIUABQAAAAIAIdO4kBKPwx+&#10;5wEAAMEDAAAOAAAAAAAAAAEAIAAAACQBAABkcnMvZTJvRG9jLnhtbFBLBQYAAAAABgAGAFkBAAB9&#10;BQAAAAA=&#10;">
                        <v:fill on="f" focussize="0,0"/>
                        <v:stroke color="#000000" joinstyle="round"/>
                        <v:imagedata o:title=""/>
                        <o:lock v:ext="edit" aspectratio="f"/>
                      </v:shape>
                      <v:shape id="AutoShape 302" o:spid="_x0000_s1026" o:spt="32" type="#_x0000_t32" style="position:absolute;left:2913580;top:417981;height:707;width:1059612;"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q5pk1QAA&#10;AAUBAAAPAAAAAAAAAAEAIAAAACIAAABkcnMvZG93bnJldi54bWxQSwECFAAUAAAACACHTuJAMtSu&#10;UugBAADCAwAADgAAAAAAAAABACAAAAAkAQAAZHJzL2Uyb0RvYy54bWxQSwUGAAAAAAYABgBZAQAA&#10;fgUAAAAA&#10;">
                        <v:fill on="f" focussize="0,0"/>
                        <v:stroke color="#000000" joinstyle="round"/>
                        <v:imagedata o:title=""/>
                        <o:lock v:ext="edit" aspectratio="f"/>
                      </v:shape>
                      <v:shape id="AutoShape 298" o:spid="_x0000_s1026" o:spt="32" type="#_x0000_t32" style="position:absolute;left:3972486;top:417981;height:2109002;width:707;"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q5pk1QAA&#10;AAUBAAAPAAAAAAAAAAEAIAAAACIAAABkcnMvZG93bnJldi54bWxQSwECFAAUAAAACACHTuJA5JeS&#10;nOgBAADCAwAADgAAAAAAAAABACAAAAAkAQAAZHJzL2Uyb0RvYy54bWxQSwUGAAAAAAYABgBZAQAA&#10;fgUAAAAA&#10;">
                        <v:fill on="f" focussize="0,0"/>
                        <v:stroke color="#000000" joinstyle="round"/>
                        <v:imagedata o:title=""/>
                        <o:lock v:ext="edit" aspectratio="f"/>
                      </v:shape>
                      <v:rect id="矩形 891" o:spid="_x0000_s1026" o:spt="1" style="position:absolute;left:3576369;top:2204480;height:322503;width:647227;"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HMXzdYA&#10;AAAFAQAADwAAAAAAAAABACAAAAAiAAAAZHJzL2Rvd25yZXYueG1sUEsBAhQAFAAAAAgAh07iQEKR&#10;C30hAgAAJAQAAA4AAAAAAAAAAQAgAAAAJQEAAGRycy9lMm9Eb2MueG1sUEsFBgAAAAAGAAYAWQEA&#10;ALgFAAAAAA==&#10;">
                        <v:fill on="f" focussize="0,0"/>
                        <v:stroke on="f"/>
                        <v:imagedata o:title=""/>
                        <o:lock v:ext="edit" aspectratio="f"/>
                        <v:textbox>
                          <w:txbxContent>
                            <w:p>
                              <w:pPr>
                                <w:rPr>
                                  <w:szCs w:val="21"/>
                                </w:rPr>
                              </w:pPr>
                              <w:r>
                                <w:rPr>
                                  <w:color w:val="000000"/>
                                  <w:szCs w:val="21"/>
                                </w:rPr>
                                <w:t>840.96</w:t>
                              </w:r>
                            </w:p>
                          </w:txbxContent>
                        </v:textbox>
                      </v:rect>
                      <v:shape id="AutoShape 304" o:spid="_x0000_s1026" o:spt="32" type="#_x0000_t32" style="position:absolute;left:2912873;top:1107544;height:707;width:1059612;" filled="f" stroked="t" coordsize="21600,21600" o:gfxdata="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q5pk1QAA&#10;AAUBAAAPAAAAAAAAAAEAIAAAACIAAABkcnMvZG93bnJldi54bWxQSwECFAAUAAAACACHTuJA8OZe&#10;CugBAADDAwAADgAAAAAAAAABACAAAAAkAQAAZHJzL2Uyb0RvYy54bWxQSwUGAAAAAAYABgBZAQAA&#10;fgUAAAAA&#10;">
                        <v:fill on="f" focussize="0,0"/>
                        <v:stroke color="#000000" joinstyle="round"/>
                        <v:imagedata o:title=""/>
                        <o:lock v:ext="edit" aspectratio="f"/>
                      </v:shape>
                      <v:shape id="AutoShape 280" o:spid="_x0000_s1026" o:spt="32" type="#_x0000_t32" style="position:absolute;left:3976022;top:1589177;height:707;width:563052;"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b/Co1gAAAAUBAAAPAAAAAAAAAAEAIAAAACIAAABkcnMvZG93&#10;bnJldi54bWxQSwECFAAUAAAACACHTuJA7Ti3iwICAADwAwAADgAAAAAAAAABACAAAAAlAQAAZHJz&#10;L2Uyb0RvYy54bWxQSwUGAAAAAAYABgBZAQAAmQUAAAAA&#10;">
                        <v:fill on="f" focussize="0,0"/>
                        <v:stroke color="#000000" joinstyle="round" endarrow="block"/>
                        <v:imagedata o:title=""/>
                        <o:lock v:ext="edit" aspectratio="f"/>
                      </v:shape>
                      <v:shape id="AutoShape 285" o:spid="_x0000_s1026" o:spt="32" type="#_x0000_t32" style="position:absolute;left:3193692;top:3771025;flip:y;height:1140077;width:707;" filled="f" stroked="t" coordsize="21600,21600" o:gfxdata="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nsO&#10;U9UAAAAFAQAADwAAAAAAAAABACAAAAAiAAAAZHJzL2Rvd25yZXYueG1sUEsBAhQAFAAAAAgAh07i&#10;QLiQFMDsAQAAzQMAAA4AAAAAAAAAAQAgAAAAJAEAAGRycy9lMm9Eb2MueG1sUEsFBgAAAAAGAAYA&#10;WQEAAIIFAAAAAA==&#10;">
                        <v:fill on="f" focussize="0,0"/>
                        <v:stroke color="#000000" joinstyle="round"/>
                        <v:imagedata o:title=""/>
                        <o:lock v:ext="edit" aspectratio="f"/>
                      </v:shape>
                      <v:shape id="AutoShape 305" o:spid="_x0000_s1026" o:spt="34" type="#_x0000_t34" style="position:absolute;left:2479974;top:3252616;flip:y;height:311895;width:1777574;" filled="f" stroked="t" coordsize="21600,21600" o:gfxdata="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GT62TV&#10;AAAABQEAAA8AAAAAAAAAAQAgAAAAIgAAAGRycy9kb3ducmV2LnhtbFBLAQIUABQAAAAIAIdO4kC6&#10;5HuMIwIAADIEAAAOAAAAAAAAAAEAIAAAACQBAABkcnMvZTJvRG9jLnhtbFBLBQYAAAAABgAGAFkB&#10;AAC5BQAAAAA=&#10;" adj="-16">
                        <v:fill on="f" focussize="0,0"/>
                        <v:stroke color="#000000" miterlimit="8" joinstyle="miter" endarrow="block"/>
                        <v:imagedata o:title=""/>
                        <o:lock v:ext="edit" aspectratio="f"/>
                      </v:shape>
                      <v:shape id="AutoShape 295" o:spid="_x0000_s1026" o:spt="32" type="#_x0000_t32" style="position:absolute;left:4266744;top:1616760;flip:y;height:2063031;width:17684;" filled="f" stroked="t" coordsize="21600,21600" o:gfxdata="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&#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89jW1gAAAAUBAAAPAAAAAAAAAAEAIAAAACIAAABk&#10;cnMvZG93bnJldi54bWxQSwECFAAUAAAACACHTuJAIm7zgwgCAAD9AwAADgAAAAAAAAABACAAAAAl&#10;AQAAZHJzL2Uyb0RvYy54bWxQSwUGAAAAAAYABgBZAQAAnwUAAAAA&#10;">
                        <v:fill on="f" focussize="0,0"/>
                        <v:stroke color="#000000" joinstyle="round" endarrow="block"/>
                        <v:imagedata o:title=""/>
                        <o:lock v:ext="edit" aspectratio="f"/>
                      </v:shape>
                      <v:rect id="矩形 716" o:spid="_x0000_s1026" o:spt="1" style="position:absolute;left:3188740;top:2938599;height:282190;width:507878;"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cxfN1gAA&#10;AAUBAAAPAAAAAAAAAAEAIAAAACIAAABkcnMvZG93bnJldi54bWxQSwECFAAUAAAACACHTuJA9BD4&#10;bSACAAAkBAAADgAAAAAAAAABACAAAAAlAQAAZHJzL2Uyb0RvYy54bWxQSwUGAAAAAAYABgBZAQAA&#10;twUAAAAA&#10;">
                        <v:fill on="f" focussize="0,0"/>
                        <v:stroke on="f"/>
                        <v:imagedata o:title=""/>
                        <o:lock v:ext="edit" aspectratio="f"/>
                        <v:textbox>
                          <w:txbxContent>
                            <w:p>
                              <w:pPr>
                                <w:ind w:left="210" w:hanging="210" w:hangingChars="100"/>
                              </w:pPr>
                              <w:r>
                                <w:t>24.73</w:t>
                              </w:r>
                            </w:p>
                          </w:txbxContent>
                        </v:textbox>
                      </v:rect>
                      <v:rect id="矩形 716" o:spid="_x0000_s1026" o:spt="1" style="position:absolute;left:3844455;top:2611145;height:281483;width:575784;" filled="f" stroked="f" coordsize="21600,21600" o:gfxdata="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zF83WAAAA&#10;BQEAAA8AAAAAAAAAAQAgAAAAIgAAAGRycy9kb3ducmV2LnhtbFBLAQIUABQAAAAIAIdO4kCLml8R&#10;HwIAACQEAAAOAAAAAAAAAAEAIAAAACUBAABkcnMvZTJvRG9jLnhtbFBLBQYAAAAABgAGAFkBAAC2&#10;BQAAAAA=&#10;">
                        <v:fill on="f" focussize="0,0"/>
                        <v:stroke on="f"/>
                        <v:imagedata o:title=""/>
                        <o:lock v:ext="edit" aspectratio="f"/>
                        <v:textbox>
                          <w:txbxContent>
                            <w:p>
                              <w:pPr>
                                <w:ind w:left="210" w:hanging="210" w:hangingChars="100"/>
                              </w:pPr>
                              <w:r>
                                <w:t>44.73</w:t>
                              </w:r>
                            </w:p>
                          </w:txbxContent>
                        </v:textbox>
                      </v:rect>
                      <v:shape id="AutoShape 309" o:spid="_x0000_s1026" o:spt="32" type="#_x0000_t32" style="position:absolute;left:4945094;top:1678290;height:711488;width:0;" filled="f" stroked="t" coordsize="21600,21600" o:gfxdata="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b/Co1gAAAAUBAAAPAAAAAAAAAAEAIAAAACIAAABkcnMvZG93bnJl&#10;di54bWxQSwECFAAUAAAACACHTuJAXkUoyv8BAADuAwAADgAAAAAAAAABACAAAAAlAQAAZHJzL2Uy&#10;b0RvYy54bWxQSwUGAAAAAAYABgBZAQAAlgUAAAAA&#10;">
                        <v:fill on="f" focussize="0,0"/>
                        <v:stroke color="#000000" joinstyle="round" endarrow="block"/>
                        <v:imagedata o:title=""/>
                        <o:lock v:ext="edit" aspectratio="f"/>
                      </v:shape>
                      <w10:wrap type="none"/>
                      <w10:anchorlock/>
                    </v:group>
                  </w:pict>
                </mc:Fallback>
              </mc:AlternateContent>
            </w:r>
          </w:p>
          <w:p>
            <w:pPr>
              <w:snapToGrid w:val="0"/>
              <w:jc w:val="center"/>
              <w:rPr>
                <w:b/>
                <w:bCs/>
                <w:sz w:val="24"/>
              </w:rPr>
            </w:pPr>
            <w:r>
              <w:rPr>
                <w:b/>
                <w:bCs/>
                <w:sz w:val="24"/>
              </w:rPr>
              <w:t>图1-1  项目水平衡图   m</w:t>
            </w:r>
            <w:r>
              <w:rPr>
                <w:b/>
                <w:bCs/>
                <w:sz w:val="24"/>
                <w:vertAlign w:val="superscript"/>
              </w:rPr>
              <w:t>3</w:t>
            </w:r>
            <w:r>
              <w:rPr>
                <w:b/>
                <w:bCs/>
                <w:sz w:val="24"/>
              </w:rPr>
              <w:t>/a</w:t>
            </w:r>
          </w:p>
          <w:p>
            <w:pPr>
              <w:spacing w:line="360" w:lineRule="auto"/>
              <w:ind w:firstLine="480" w:firstLineChars="200"/>
              <w:jc w:val="left"/>
              <w:rPr>
                <w:sz w:val="24"/>
              </w:rPr>
            </w:pPr>
            <w:r>
              <w:rPr>
                <w:sz w:val="24"/>
              </w:rPr>
              <w:t>（2）供电工程</w:t>
            </w:r>
          </w:p>
          <w:p>
            <w:pPr>
              <w:spacing w:line="360" w:lineRule="auto"/>
              <w:ind w:firstLine="480" w:firstLineChars="200"/>
              <w:jc w:val="left"/>
              <w:rPr>
                <w:sz w:val="24"/>
              </w:rPr>
            </w:pPr>
            <w:r>
              <w:rPr>
                <w:sz w:val="24"/>
              </w:rPr>
              <w:t>本项目供电引自市政供电电网，电力供应充足稳定，可满足项目建设和营运的用电需求。</w:t>
            </w:r>
          </w:p>
          <w:p>
            <w:pPr>
              <w:spacing w:line="360" w:lineRule="auto"/>
              <w:ind w:firstLine="480" w:firstLineChars="200"/>
              <w:jc w:val="left"/>
              <w:rPr>
                <w:sz w:val="24"/>
              </w:rPr>
            </w:pPr>
            <w:r>
              <w:rPr>
                <w:rFonts w:hint="eastAsia"/>
                <w:sz w:val="24"/>
              </w:rPr>
              <w:t>（3）供气</w:t>
            </w:r>
          </w:p>
          <w:p>
            <w:pPr>
              <w:spacing w:line="360" w:lineRule="auto"/>
              <w:ind w:firstLine="480" w:firstLineChars="200"/>
              <w:jc w:val="left"/>
              <w:rPr>
                <w:sz w:val="24"/>
              </w:rPr>
            </w:pPr>
            <w:r>
              <w:rPr>
                <w:rFonts w:hint="eastAsia"/>
                <w:sz w:val="24"/>
              </w:rPr>
              <w:t>本项目锅炉采用天然气，由天然气市政管网供给，气量充足稳定，</w:t>
            </w:r>
            <w:r>
              <w:rPr>
                <w:sz w:val="24"/>
              </w:rPr>
              <w:t>可满足项目用</w:t>
            </w:r>
            <w:r>
              <w:rPr>
                <w:rFonts w:hint="eastAsia"/>
                <w:sz w:val="24"/>
              </w:rPr>
              <w:t>气</w:t>
            </w:r>
            <w:r>
              <w:rPr>
                <w:sz w:val="24"/>
              </w:rPr>
              <w:t>需求。</w:t>
            </w:r>
          </w:p>
          <w:p>
            <w:pPr>
              <w:spacing w:line="360" w:lineRule="auto"/>
              <w:ind w:firstLine="480" w:firstLineChars="200"/>
              <w:jc w:val="left"/>
              <w:rPr>
                <w:sz w:val="24"/>
              </w:rPr>
            </w:pPr>
            <w:r>
              <w:rPr>
                <w:sz w:val="24"/>
              </w:rPr>
              <w:t>（4）制冷</w:t>
            </w:r>
          </w:p>
          <w:p>
            <w:pPr>
              <w:spacing w:line="360" w:lineRule="auto"/>
              <w:ind w:firstLine="480" w:firstLineChars="200"/>
              <w:jc w:val="left"/>
              <w:rPr>
                <w:sz w:val="24"/>
              </w:rPr>
            </w:pPr>
            <w:r>
              <w:rPr>
                <w:sz w:val="24"/>
              </w:rPr>
              <w:t>采用分体式空调制冷</w:t>
            </w:r>
          </w:p>
          <w:p>
            <w:pPr>
              <w:spacing w:line="360" w:lineRule="auto"/>
              <w:ind w:firstLine="480" w:firstLineChars="200"/>
              <w:jc w:val="left"/>
              <w:rPr>
                <w:sz w:val="24"/>
              </w:rPr>
            </w:pPr>
            <w:r>
              <w:rPr>
                <w:rFonts w:hint="eastAsia"/>
                <w:sz w:val="24"/>
              </w:rPr>
              <w:t>（</w:t>
            </w:r>
            <w:r>
              <w:rPr>
                <w:sz w:val="24"/>
              </w:rPr>
              <w:t>5</w:t>
            </w:r>
            <w:r>
              <w:rPr>
                <w:rFonts w:hint="eastAsia"/>
                <w:sz w:val="24"/>
              </w:rPr>
              <w:t>）</w:t>
            </w:r>
            <w:r>
              <w:rPr>
                <w:sz w:val="24"/>
              </w:rPr>
              <w:t>采暖</w:t>
            </w:r>
          </w:p>
          <w:p>
            <w:pPr>
              <w:spacing w:line="360" w:lineRule="auto"/>
              <w:ind w:firstLine="480" w:firstLineChars="200"/>
              <w:jc w:val="left"/>
              <w:rPr>
                <w:sz w:val="24"/>
              </w:rPr>
            </w:pPr>
            <w:r>
              <w:rPr>
                <w:rFonts w:hint="eastAsia"/>
                <w:sz w:val="24"/>
              </w:rPr>
              <w:t>采取集中供暖方式，锅炉房设有1台2t</w:t>
            </w:r>
            <w:r>
              <w:rPr>
                <w:sz w:val="24"/>
              </w:rPr>
              <w:t>/</w:t>
            </w:r>
            <w:r>
              <w:rPr>
                <w:rFonts w:hint="eastAsia"/>
                <w:sz w:val="24"/>
              </w:rPr>
              <w:t>h热水锅炉，燃料为天然气，冬季供暖，运行时间为</w:t>
            </w:r>
            <w:r>
              <w:rPr>
                <w:sz w:val="24"/>
              </w:rPr>
              <w:t>152</w:t>
            </w:r>
            <w:r>
              <w:rPr>
                <w:rFonts w:hint="eastAsia"/>
                <w:sz w:val="24"/>
              </w:rPr>
              <w:t>d</w:t>
            </w:r>
            <w:r>
              <w:rPr>
                <w:sz w:val="24"/>
              </w:rPr>
              <w:t>。</w:t>
            </w:r>
          </w:p>
          <w:p>
            <w:pPr>
              <w:spacing w:line="360" w:lineRule="auto"/>
              <w:ind w:firstLine="482" w:firstLineChars="200"/>
              <w:contextualSpacing/>
              <w:rPr>
                <w:b/>
                <w:kern w:val="0"/>
                <w:sz w:val="24"/>
              </w:rPr>
            </w:pPr>
            <w:r>
              <w:rPr>
                <w:b/>
                <w:kern w:val="0"/>
                <w:sz w:val="24"/>
              </w:rPr>
              <w:t>6、总平面布置</w:t>
            </w:r>
          </w:p>
          <w:p>
            <w:pPr>
              <w:spacing w:line="360" w:lineRule="auto"/>
              <w:ind w:firstLine="496" w:firstLineChars="200"/>
              <w:contextualSpacing/>
              <w:rPr>
                <w:bCs/>
                <w:spacing w:val="4"/>
                <w:sz w:val="24"/>
              </w:rPr>
            </w:pPr>
            <w:r>
              <w:rPr>
                <w:bCs/>
                <w:spacing w:val="4"/>
                <w:sz w:val="24"/>
              </w:rPr>
              <w:t>本项目总占地面积</w:t>
            </w:r>
            <w:r>
              <w:rPr>
                <w:rFonts w:hint="eastAsia"/>
                <w:bCs/>
                <w:spacing w:val="4"/>
                <w:sz w:val="24"/>
              </w:rPr>
              <w:t>占地</w:t>
            </w:r>
            <w:r>
              <w:rPr>
                <w:sz w:val="24"/>
              </w:rPr>
              <w:t>9323.144</w:t>
            </w:r>
            <w:r>
              <w:rPr>
                <w:rFonts w:hint="eastAsia"/>
                <w:sz w:val="24"/>
              </w:rPr>
              <w:t>m</w:t>
            </w:r>
            <w:r>
              <w:rPr>
                <w:rFonts w:hint="eastAsia"/>
                <w:sz w:val="24"/>
                <w:vertAlign w:val="superscript"/>
              </w:rPr>
              <w:t>2</w:t>
            </w:r>
            <w:r>
              <w:rPr>
                <w:rFonts w:hint="eastAsia"/>
                <w:bCs/>
                <w:spacing w:val="4"/>
                <w:sz w:val="24"/>
              </w:rPr>
              <w:t>，</w:t>
            </w:r>
            <w:r>
              <w:rPr>
                <w:bCs/>
                <w:spacing w:val="4"/>
                <w:sz w:val="24"/>
              </w:rPr>
              <w:t>总建筑面积12389.97m</w:t>
            </w:r>
            <w:r>
              <w:rPr>
                <w:bCs/>
                <w:spacing w:val="4"/>
                <w:sz w:val="24"/>
                <w:vertAlign w:val="superscript"/>
              </w:rPr>
              <w:t>2</w:t>
            </w:r>
            <w:r>
              <w:rPr>
                <w:rFonts w:hint="eastAsia"/>
                <w:bCs/>
                <w:spacing w:val="4"/>
                <w:sz w:val="24"/>
              </w:rPr>
              <w:t>，其中</w:t>
            </w:r>
            <w:r>
              <w:rPr>
                <w:rFonts w:hint="eastAsia"/>
                <w:sz w:val="24"/>
              </w:rPr>
              <w:t>子洲县人民医院分院建筑面积7756.72m</w:t>
            </w:r>
            <w:r>
              <w:rPr>
                <w:sz w:val="24"/>
                <w:vertAlign w:val="superscript"/>
              </w:rPr>
              <w:t>2</w:t>
            </w:r>
            <w:r>
              <w:rPr>
                <w:rFonts w:hint="eastAsia"/>
                <w:sz w:val="24"/>
              </w:rPr>
              <w:t>，康养中心建筑面积4435.25m</w:t>
            </w:r>
            <w:r>
              <w:rPr>
                <w:sz w:val="24"/>
                <w:vertAlign w:val="superscript"/>
              </w:rPr>
              <w:t>2</w:t>
            </w:r>
            <w:r>
              <w:rPr>
                <w:rFonts w:hint="eastAsia"/>
                <w:sz w:val="24"/>
              </w:rPr>
              <w:t>，出地面风井、楼梯、门房建筑面积30.00m</w:t>
            </w:r>
            <w:r>
              <w:rPr>
                <w:sz w:val="24"/>
                <w:vertAlign w:val="superscript"/>
              </w:rPr>
              <w:t>2</w:t>
            </w:r>
            <w:r>
              <w:rPr>
                <w:rFonts w:hint="eastAsia"/>
                <w:sz w:val="24"/>
              </w:rPr>
              <w:t>，设备用房建筑面积168.00m</w:t>
            </w:r>
            <w:r>
              <w:rPr>
                <w:sz w:val="24"/>
                <w:vertAlign w:val="superscript"/>
              </w:rPr>
              <w:t>2</w:t>
            </w:r>
            <w:r>
              <w:rPr>
                <w:rFonts w:hint="eastAsia"/>
                <w:sz w:val="24"/>
              </w:rPr>
              <w:t>。</w:t>
            </w:r>
          </w:p>
          <w:p>
            <w:pPr>
              <w:spacing w:line="360" w:lineRule="auto"/>
              <w:ind w:firstLine="496" w:firstLineChars="200"/>
              <w:contextualSpacing/>
              <w:rPr>
                <w:bCs/>
                <w:spacing w:val="4"/>
                <w:sz w:val="24"/>
              </w:rPr>
            </w:pPr>
            <w:r>
              <w:rPr>
                <w:rFonts w:hint="eastAsia"/>
                <w:bCs/>
                <w:spacing w:val="4"/>
                <w:sz w:val="24"/>
              </w:rPr>
              <w:t>项目用地形状为不规则图形，根据用地情况，</w:t>
            </w:r>
            <w:r>
              <w:rPr>
                <w:bCs/>
                <w:spacing w:val="4"/>
                <w:sz w:val="24"/>
              </w:rPr>
              <w:t>项目分区包括：</w:t>
            </w:r>
            <w:r>
              <w:rPr>
                <w:rFonts w:hint="eastAsia"/>
                <w:bCs/>
                <w:spacing w:val="4"/>
                <w:sz w:val="24"/>
              </w:rPr>
              <w:t>子洲县人民医院分院、康养中心、廊道、辅助用房、停车区</w:t>
            </w:r>
            <w:r>
              <w:rPr>
                <w:bCs/>
                <w:spacing w:val="4"/>
                <w:sz w:val="24"/>
              </w:rPr>
              <w:t>等</w:t>
            </w:r>
            <w:r>
              <w:rPr>
                <w:rFonts w:hint="eastAsia"/>
                <w:bCs/>
                <w:spacing w:val="4"/>
                <w:sz w:val="24"/>
              </w:rPr>
              <w:t>，其中子洲县人民医院分院位于项目区西北侧，康养中心位于项目区东南侧，廊道连接子洲县人民医院分院和康养中心。子洲县人民医院分院、康养中心楼前设置有消防救援场地，</w:t>
            </w:r>
            <w:r>
              <w:rPr>
                <w:bCs/>
                <w:spacing w:val="4"/>
                <w:sz w:val="24"/>
              </w:rPr>
              <w:t>各楼层分别设置消防通道、消防器材等。</w:t>
            </w:r>
          </w:p>
          <w:p>
            <w:pPr>
              <w:spacing w:line="360" w:lineRule="auto"/>
              <w:ind w:firstLine="496" w:firstLineChars="200"/>
              <w:contextualSpacing/>
              <w:rPr>
                <w:bCs/>
                <w:spacing w:val="4"/>
                <w:sz w:val="24"/>
              </w:rPr>
            </w:pPr>
            <w:r>
              <w:rPr>
                <w:bCs/>
                <w:spacing w:val="4"/>
                <w:sz w:val="24"/>
              </w:rPr>
              <w:t>本项目厂区的平面布置最大限度满足医疗救助工作的要求，</w:t>
            </w:r>
            <w:r>
              <w:rPr>
                <w:rFonts w:hint="eastAsia"/>
                <w:bCs/>
                <w:spacing w:val="4"/>
                <w:sz w:val="24"/>
              </w:rPr>
              <w:t>按功能单元分区布置，同一功能区内的建筑集中布置，</w:t>
            </w:r>
            <w:r>
              <w:rPr>
                <w:bCs/>
                <w:spacing w:val="4"/>
                <w:sz w:val="24"/>
              </w:rPr>
              <w:t>同时考虑建筑防火、环保、消防、节能、职业安全卫生等相关设计规范</w:t>
            </w:r>
            <w:r>
              <w:rPr>
                <w:rFonts w:hint="eastAsia"/>
                <w:bCs/>
                <w:spacing w:val="4"/>
                <w:sz w:val="24"/>
              </w:rPr>
              <w:t>的</w:t>
            </w:r>
            <w:r>
              <w:rPr>
                <w:bCs/>
                <w:spacing w:val="4"/>
                <w:sz w:val="24"/>
              </w:rPr>
              <w:t>要求，</w:t>
            </w:r>
            <w:r>
              <w:rPr>
                <w:rFonts w:hint="eastAsia"/>
                <w:bCs/>
                <w:spacing w:val="4"/>
                <w:sz w:val="24"/>
              </w:rPr>
              <w:t>各大楼四周均设有环形消防车道，</w:t>
            </w:r>
            <w:r>
              <w:rPr>
                <w:bCs/>
                <w:spacing w:val="4"/>
                <w:sz w:val="24"/>
              </w:rPr>
              <w:t>交通便利、水电气等设施完善。项目平面布置见附图</w:t>
            </w:r>
            <w:r>
              <w:rPr>
                <w:rFonts w:hint="eastAsia"/>
                <w:bCs/>
                <w:spacing w:val="4"/>
                <w:sz w:val="24"/>
              </w:rPr>
              <w:t>4。</w:t>
            </w:r>
          </w:p>
          <w:p>
            <w:pPr>
              <w:spacing w:line="360" w:lineRule="auto"/>
              <w:ind w:firstLine="496" w:firstLineChars="200"/>
              <w:contextualSpacing/>
              <w:rPr>
                <w:bCs/>
                <w:spacing w:val="4"/>
                <w:sz w:val="24"/>
              </w:rPr>
            </w:pPr>
            <w:r>
              <w:rPr>
                <w:rFonts w:hint="eastAsia"/>
                <w:bCs/>
                <w:spacing w:val="4"/>
                <w:sz w:val="24"/>
              </w:rPr>
              <w:t>因此，</w:t>
            </w:r>
            <w:r>
              <w:rPr>
                <w:bCs/>
                <w:spacing w:val="4"/>
                <w:sz w:val="24"/>
              </w:rPr>
              <w:t>项目总图布置功能分区明确，满足人、车及消防等需要</w:t>
            </w:r>
            <w:r>
              <w:rPr>
                <w:rFonts w:hint="eastAsia"/>
                <w:bCs/>
                <w:spacing w:val="4"/>
                <w:sz w:val="24"/>
              </w:rPr>
              <w:t>，平面布置基本合理</w:t>
            </w:r>
            <w:r>
              <w:rPr>
                <w:bCs/>
                <w:spacing w:val="4"/>
                <w:sz w:val="24"/>
              </w:rPr>
              <w:t>。</w:t>
            </w:r>
          </w:p>
          <w:p>
            <w:pPr>
              <w:spacing w:line="360" w:lineRule="auto"/>
              <w:ind w:firstLine="482" w:firstLineChars="200"/>
              <w:contextualSpacing/>
              <w:rPr>
                <w:b/>
                <w:sz w:val="24"/>
              </w:rPr>
            </w:pPr>
            <w:r>
              <w:rPr>
                <w:b/>
                <w:sz w:val="24"/>
              </w:rPr>
              <w:t>7、劳动定员及工作制度</w:t>
            </w:r>
          </w:p>
          <w:p>
            <w:pPr>
              <w:spacing w:line="360" w:lineRule="auto"/>
              <w:ind w:firstLine="456" w:firstLineChars="200"/>
              <w:contextualSpacing/>
              <w:rPr>
                <w:spacing w:val="-6"/>
                <w:sz w:val="24"/>
              </w:rPr>
            </w:pPr>
            <w:r>
              <w:rPr>
                <w:spacing w:val="-6"/>
                <w:sz w:val="24"/>
              </w:rPr>
              <w:t>项目</w:t>
            </w:r>
            <w:r>
              <w:rPr>
                <w:rFonts w:hint="eastAsia"/>
                <w:spacing w:val="-6"/>
                <w:sz w:val="24"/>
              </w:rPr>
              <w:t>医护及工作定员50</w:t>
            </w:r>
            <w:r>
              <w:rPr>
                <w:spacing w:val="-6"/>
                <w:sz w:val="24"/>
              </w:rPr>
              <w:t>人</w:t>
            </w:r>
            <w:r>
              <w:rPr>
                <w:rFonts w:hint="eastAsia"/>
                <w:spacing w:val="-6"/>
                <w:sz w:val="24"/>
              </w:rPr>
              <w:t>，</w:t>
            </w:r>
            <w:r>
              <w:rPr>
                <w:spacing w:val="-6"/>
                <w:sz w:val="24"/>
              </w:rPr>
              <w:t>门诊服务时间为8：00~17：00，年工作天数为365天。</w:t>
            </w:r>
          </w:p>
          <w:p>
            <w:pPr>
              <w:spacing w:line="360" w:lineRule="auto"/>
              <w:ind w:firstLine="456" w:firstLineChars="200"/>
              <w:contextualSpacing/>
              <w:rPr>
                <w:spacing w:val="-6"/>
                <w:sz w:val="24"/>
              </w:rPr>
            </w:pPr>
          </w:p>
          <w:p>
            <w:pPr>
              <w:spacing w:line="360" w:lineRule="auto"/>
              <w:ind w:firstLine="456" w:firstLineChars="200"/>
              <w:contextualSpacing/>
              <w:rPr>
                <w:spacing w:val="-6"/>
                <w:sz w:val="24"/>
              </w:rPr>
            </w:pPr>
          </w:p>
          <w:p>
            <w:pPr>
              <w:spacing w:line="360" w:lineRule="auto"/>
              <w:ind w:firstLine="456" w:firstLineChars="200"/>
              <w:contextualSpacing/>
              <w:rPr>
                <w:spacing w:val="-6"/>
                <w:sz w:val="24"/>
              </w:rPr>
            </w:pPr>
          </w:p>
          <w:p>
            <w:pPr>
              <w:spacing w:line="360" w:lineRule="auto"/>
              <w:ind w:firstLine="456" w:firstLineChars="200"/>
              <w:contextualSpacing/>
              <w:rPr>
                <w:spacing w:val="-6"/>
                <w:sz w:val="24"/>
              </w:rPr>
            </w:pPr>
          </w:p>
          <w:p>
            <w:pPr>
              <w:spacing w:line="360" w:lineRule="auto"/>
              <w:ind w:firstLine="456" w:firstLineChars="200"/>
              <w:contextualSpacing/>
              <w:rPr>
                <w:color w:val="00B0F0"/>
                <w:spacing w:val="-6"/>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2" w:hRule="atLeast"/>
          <w:jc w:val="center"/>
        </w:trPr>
        <w:tc>
          <w:tcPr>
            <w:tcW w:w="455" w:type="dxa"/>
            <w:vAlign w:val="center"/>
          </w:tcPr>
          <w:p>
            <w:pPr>
              <w:pStyle w:val="19"/>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605" w:type="dxa"/>
          </w:tcPr>
          <w:p>
            <w:pPr>
              <w:spacing w:line="360" w:lineRule="auto"/>
              <w:ind w:firstLine="480" w:firstLineChars="200"/>
              <w:rPr>
                <w:sz w:val="24"/>
              </w:rPr>
            </w:pPr>
            <w:bookmarkStart w:id="3" w:name="_Toc158363882"/>
            <w:bookmarkStart w:id="4" w:name="_Toc53877481"/>
            <w:r>
              <w:rPr>
                <w:sz w:val="24"/>
              </w:rPr>
              <w:t>1、施工期</w:t>
            </w:r>
            <w:bookmarkEnd w:id="3"/>
            <w:bookmarkEnd w:id="4"/>
          </w:p>
          <w:p>
            <w:pPr>
              <w:spacing w:line="360" w:lineRule="auto"/>
              <w:ind w:firstLine="480" w:firstLineChars="200"/>
              <w:rPr>
                <w:sz w:val="24"/>
              </w:rPr>
            </w:pPr>
            <w:bookmarkStart w:id="5" w:name="_Toc53877482"/>
            <w:r>
              <w:rPr>
                <w:rFonts w:hint="eastAsia"/>
                <w:sz w:val="24"/>
              </w:rPr>
              <w:t>根据现场踏勘，项目目前未开工建设，</w:t>
            </w:r>
            <w:r>
              <w:rPr>
                <w:sz w:val="24"/>
              </w:rPr>
              <w:t>项目</w:t>
            </w:r>
            <w:r>
              <w:rPr>
                <w:rFonts w:hint="eastAsia"/>
                <w:sz w:val="24"/>
              </w:rPr>
              <w:t>建设内容包括拆除原有建筑、围墙等，新建</w:t>
            </w:r>
            <w:r>
              <w:rPr>
                <w:rFonts w:hint="eastAsia"/>
                <w:bCs/>
                <w:spacing w:val="4"/>
                <w:sz w:val="24"/>
              </w:rPr>
              <w:t>子洲县人民医院分院、康养中心等，因此，项目施工期包括基础工程、主体工程、装饰工程、设备安装等。</w:t>
            </w:r>
            <w:r>
              <w:rPr>
                <w:sz w:val="24"/>
              </w:rPr>
              <w:t>施工过程中</w:t>
            </w:r>
            <w:r>
              <w:rPr>
                <w:rFonts w:hint="eastAsia"/>
                <w:sz w:val="24"/>
              </w:rPr>
              <w:t>对环境的影响主要为施工机械设备运转、施工车辆运行以及施工人员的活动等产生的废气、废水、固废和噪声影响，以及场地平整过程中对局部生态环境的影响，但其</w:t>
            </w:r>
            <w:r>
              <w:rPr>
                <w:sz w:val="24"/>
              </w:rPr>
              <w:t>影响随着施工的结束而消失</w:t>
            </w:r>
            <w:r>
              <w:rPr>
                <w:rFonts w:hint="eastAsia"/>
                <w:sz w:val="24"/>
              </w:rPr>
              <w:t>。</w:t>
            </w:r>
          </w:p>
          <w:p>
            <w:pPr>
              <w:spacing w:line="360" w:lineRule="auto"/>
              <w:ind w:firstLine="480" w:firstLineChars="200"/>
              <w:rPr>
                <w:sz w:val="24"/>
              </w:rPr>
            </w:pPr>
            <w:r>
              <w:rPr>
                <w:sz w:val="24"/>
              </w:rPr>
              <w:t>施工期工艺流程及排污节点见示意图</w:t>
            </w:r>
            <w:r>
              <w:rPr>
                <w:rFonts w:hint="eastAsia"/>
                <w:sz w:val="24"/>
              </w:rPr>
              <w:t>1</w:t>
            </w:r>
            <w:r>
              <w:rPr>
                <w:sz w:val="24"/>
              </w:rPr>
              <w:t>-2。</w:t>
            </w:r>
            <w:bookmarkEnd w:id="5"/>
          </w:p>
          <w:p>
            <w:pPr>
              <w:pStyle w:val="38"/>
              <w:ind w:left="0" w:leftChars="0" w:firstLine="0" w:firstLineChars="0"/>
            </w:pPr>
            <w:r>
              <w:drawing>
                <wp:inline distT="0" distB="0" distL="0" distR="0">
                  <wp:extent cx="5379720" cy="1402080"/>
                  <wp:effectExtent l="0" t="0" r="0" b="7620"/>
                  <wp:docPr id="9" name="图片 9" descr="168647145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64714563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79720" cy="1402080"/>
                          </a:xfrm>
                          <a:prstGeom prst="rect">
                            <a:avLst/>
                          </a:prstGeom>
                          <a:noFill/>
                          <a:ln>
                            <a:noFill/>
                          </a:ln>
                        </pic:spPr>
                      </pic:pic>
                    </a:graphicData>
                  </a:graphic>
                </wp:inline>
              </w:drawing>
            </w:r>
          </w:p>
          <w:p>
            <w:pPr>
              <w:jc w:val="center"/>
              <w:outlineLvl w:val="0"/>
              <w:rPr>
                <w:b/>
                <w:bCs/>
                <w:szCs w:val="21"/>
              </w:rPr>
            </w:pPr>
            <w:bookmarkStart w:id="6" w:name="_Toc53877483"/>
            <w:r>
              <w:rPr>
                <w:b/>
                <w:bCs/>
                <w:szCs w:val="21"/>
              </w:rPr>
              <w:t>图</w:t>
            </w:r>
            <w:r>
              <w:rPr>
                <w:rFonts w:hint="eastAsia"/>
                <w:b/>
                <w:bCs/>
                <w:szCs w:val="21"/>
              </w:rPr>
              <w:t>1</w:t>
            </w:r>
            <w:r>
              <w:rPr>
                <w:b/>
                <w:bCs/>
                <w:szCs w:val="21"/>
              </w:rPr>
              <w:t>-2  施工期工艺流程及产污节点示意图</w:t>
            </w:r>
            <w:bookmarkEnd w:id="6"/>
          </w:p>
          <w:p>
            <w:pPr>
              <w:spacing w:line="360" w:lineRule="auto"/>
              <w:ind w:firstLine="480" w:firstLineChars="200"/>
              <w:rPr>
                <w:sz w:val="24"/>
              </w:rPr>
            </w:pPr>
            <w:bookmarkStart w:id="7" w:name="_Toc53877484"/>
            <w:r>
              <w:rPr>
                <w:rFonts w:hint="eastAsia"/>
                <w:sz w:val="24"/>
              </w:rPr>
              <w:t>施工期主要污染环节为：</w:t>
            </w:r>
          </w:p>
          <w:p>
            <w:pPr>
              <w:spacing w:line="360" w:lineRule="auto"/>
              <w:ind w:firstLine="480" w:firstLineChars="200"/>
              <w:rPr>
                <w:sz w:val="24"/>
              </w:rPr>
            </w:pPr>
            <w:r>
              <w:rPr>
                <w:rFonts w:hint="eastAsia"/>
                <w:sz w:val="24"/>
              </w:rPr>
              <w:t>（1）废气：施工扬尘、施工机械尾气；</w:t>
            </w:r>
          </w:p>
          <w:p>
            <w:pPr>
              <w:spacing w:line="360" w:lineRule="auto"/>
              <w:ind w:firstLine="480" w:firstLineChars="200"/>
              <w:rPr>
                <w:sz w:val="24"/>
              </w:rPr>
            </w:pPr>
            <w:r>
              <w:rPr>
                <w:rFonts w:hint="eastAsia"/>
                <w:sz w:val="24"/>
              </w:rPr>
              <w:t>（2）废水：施工废水和生活污水；</w:t>
            </w:r>
          </w:p>
          <w:p>
            <w:pPr>
              <w:spacing w:line="360" w:lineRule="auto"/>
              <w:ind w:firstLine="480" w:firstLineChars="200"/>
              <w:rPr>
                <w:sz w:val="24"/>
              </w:rPr>
            </w:pPr>
            <w:r>
              <w:rPr>
                <w:rFonts w:hint="eastAsia"/>
                <w:sz w:val="24"/>
              </w:rPr>
              <w:t>（3）噪声：施工机械设备噪声和运输车辆噪声；</w:t>
            </w:r>
          </w:p>
          <w:p>
            <w:pPr>
              <w:spacing w:line="360" w:lineRule="auto"/>
              <w:ind w:firstLine="480" w:firstLineChars="200"/>
              <w:rPr>
                <w:sz w:val="24"/>
              </w:rPr>
            </w:pPr>
            <w:r>
              <w:rPr>
                <w:rFonts w:hint="eastAsia"/>
                <w:sz w:val="24"/>
              </w:rPr>
              <w:t>（4）固废：建筑垃圾和生活垃圾。</w:t>
            </w:r>
          </w:p>
          <w:p>
            <w:pPr>
              <w:spacing w:line="360" w:lineRule="auto"/>
              <w:ind w:firstLine="480" w:firstLineChars="200"/>
              <w:rPr>
                <w:sz w:val="24"/>
              </w:rPr>
            </w:pPr>
            <w:r>
              <w:rPr>
                <w:sz w:val="24"/>
              </w:rPr>
              <w:t>2、运营期</w:t>
            </w:r>
            <w:bookmarkEnd w:id="7"/>
          </w:p>
          <w:p>
            <w:pPr>
              <w:spacing w:line="360" w:lineRule="auto"/>
              <w:ind w:firstLine="480" w:firstLineChars="200"/>
              <w:rPr>
                <w:sz w:val="24"/>
              </w:rPr>
            </w:pPr>
            <w:r>
              <w:rPr>
                <w:rFonts w:hint="eastAsia"/>
                <w:sz w:val="24"/>
              </w:rPr>
              <w:t>本项目为医疗服务类项目，项目运营期工作过程分门诊和住院疗养两个过程，医生认为不需要住院的，根据诊断结果向病人提供口服药品、针剂注射、输液治疗等后离院，医生认为需要住院治疗的，就被安排在病房接受进一步治疗，直到治愈离院或转院等，项目为病人提供诊疗、住院等服务。</w:t>
            </w:r>
          </w:p>
          <w:p>
            <w:pPr>
              <w:pStyle w:val="19"/>
              <w:widowControl w:val="0"/>
              <w:spacing w:before="0" w:beforeAutospacing="0" w:after="0" w:afterAutospacing="0" w:line="360" w:lineRule="auto"/>
              <w:ind w:firstLine="480" w:firstLineChars="200"/>
              <w:jc w:val="both"/>
            </w:pPr>
            <w:r>
              <w:t>项目运营期工艺流程及主要产污环节见图</w:t>
            </w:r>
            <w:r>
              <w:rPr>
                <w:rFonts w:ascii="Times New Roman" w:hAnsi="Times New Roman"/>
              </w:rPr>
              <w:t>1-3</w:t>
            </w:r>
            <w:r>
              <w:t>。</w:t>
            </w:r>
          </w:p>
          <w:p>
            <w:pPr>
              <w:pStyle w:val="19"/>
              <w:widowControl w:val="0"/>
              <w:spacing w:before="0" w:beforeAutospacing="0" w:after="0" w:afterAutospacing="0" w:line="360" w:lineRule="auto"/>
              <w:ind w:firstLine="480" w:firstLineChars="200"/>
              <w:jc w:val="both"/>
            </w:pPr>
          </w:p>
          <w:p>
            <w:pPr>
              <w:pStyle w:val="19"/>
              <w:widowControl w:val="0"/>
              <w:spacing w:before="0" w:beforeAutospacing="0" w:after="0" w:afterAutospacing="0" w:line="360" w:lineRule="auto"/>
              <w:ind w:firstLine="480" w:firstLineChars="200"/>
              <w:jc w:val="both"/>
            </w:pPr>
          </w:p>
          <w:p>
            <w:pPr>
              <w:pStyle w:val="19"/>
              <w:widowControl w:val="0"/>
              <w:spacing w:before="0" w:beforeAutospacing="0" w:after="0" w:afterAutospacing="0" w:line="360" w:lineRule="auto"/>
              <w:jc w:val="both"/>
              <w:rPr>
                <w:rFonts w:ascii="Times New Roman" w:hAnsi="Times New Roman"/>
                <w:szCs w:val="24"/>
              </w:rPr>
            </w:pPr>
          </w:p>
          <w:p>
            <w:pPr>
              <w:spacing w:line="360" w:lineRule="auto"/>
              <w:contextualSpacing/>
              <w:jc w:val="center"/>
            </w:pPr>
            <w:r>
              <w:drawing>
                <wp:inline distT="0" distB="0" distL="0" distR="0">
                  <wp:extent cx="5181600" cy="2773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81600" cy="2773680"/>
                          </a:xfrm>
                          <a:prstGeom prst="rect">
                            <a:avLst/>
                          </a:prstGeom>
                          <a:noFill/>
                          <a:ln>
                            <a:noFill/>
                          </a:ln>
                          <a:effectLst/>
                        </pic:spPr>
                      </pic:pic>
                    </a:graphicData>
                  </a:graphic>
                </wp:inline>
              </w:drawing>
            </w:r>
          </w:p>
          <w:p>
            <w:pPr>
              <w:spacing w:after="120"/>
              <w:ind w:left="420" w:leftChars="200"/>
              <w:jc w:val="center"/>
              <w:rPr>
                <w:b/>
                <w:szCs w:val="21"/>
              </w:rPr>
            </w:pPr>
            <w:r>
              <w:rPr>
                <w:b/>
                <w:szCs w:val="21"/>
              </w:rPr>
              <w:t>图1-3   运营期工艺流程及产污环节示意图</w:t>
            </w:r>
          </w:p>
          <w:p>
            <w:pPr>
              <w:spacing w:after="120"/>
              <w:ind w:left="420" w:leftChars="200"/>
              <w:jc w:val="center"/>
              <w:rPr>
                <w:b/>
                <w:sz w:val="24"/>
              </w:rPr>
            </w:pPr>
          </w:p>
          <w:p>
            <w:pPr>
              <w:pStyle w:val="19"/>
              <w:widowControl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运营期主要产污环节为：</w:t>
            </w:r>
            <w:r>
              <w:rPr>
                <w:rFonts w:hint="eastAsia" w:ascii="Times New Roman" w:hAnsi="Times New Roman"/>
              </w:rPr>
              <w:t>、</w:t>
            </w:r>
          </w:p>
          <w:p>
            <w:pPr>
              <w:pStyle w:val="19"/>
              <w:widowControl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（1）废气：</w:t>
            </w:r>
            <w:r>
              <w:rPr>
                <w:rFonts w:hint="eastAsia" w:ascii="Times New Roman" w:hAnsi="Times New Roman"/>
              </w:rPr>
              <w:t>废水</w:t>
            </w:r>
            <w:r>
              <w:rPr>
                <w:rFonts w:ascii="Times New Roman" w:hAnsi="Times New Roman"/>
              </w:rPr>
              <w:t>处理</w:t>
            </w:r>
            <w:r>
              <w:rPr>
                <w:rFonts w:hint="eastAsia" w:ascii="Times New Roman" w:hAnsi="Times New Roman"/>
              </w:rPr>
              <w:t>装置废气、锅炉废气、油烟废气</w:t>
            </w:r>
            <w:r>
              <w:rPr>
                <w:rFonts w:ascii="Times New Roman" w:hAnsi="Times New Roman"/>
              </w:rPr>
              <w:t>。</w:t>
            </w:r>
          </w:p>
          <w:p>
            <w:pPr>
              <w:pStyle w:val="19"/>
              <w:widowControl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（2）废水：医疗废水</w:t>
            </w:r>
            <w:r>
              <w:rPr>
                <w:rFonts w:hint="eastAsia" w:ascii="Times New Roman" w:hAnsi="Times New Roman"/>
              </w:rPr>
              <w:t>、生活污水</w:t>
            </w:r>
            <w:r>
              <w:rPr>
                <w:rFonts w:ascii="Times New Roman" w:hAnsi="Times New Roman"/>
              </w:rPr>
              <w:t>。</w:t>
            </w:r>
          </w:p>
          <w:p>
            <w:pPr>
              <w:keepNext/>
              <w:keepLines/>
              <w:spacing w:line="360" w:lineRule="auto"/>
              <w:ind w:firstLine="480" w:firstLineChars="200"/>
              <w:outlineLvl w:val="1"/>
              <w:rPr>
                <w:sz w:val="24"/>
              </w:rPr>
            </w:pPr>
            <w:r>
              <w:rPr>
                <w:sz w:val="24"/>
              </w:rPr>
              <w:t>（3）噪声：</w:t>
            </w:r>
            <w:r>
              <w:rPr>
                <w:rFonts w:hint="eastAsia"/>
                <w:sz w:val="24"/>
              </w:rPr>
              <w:t>风机、</w:t>
            </w:r>
            <w:r>
              <w:rPr>
                <w:rFonts w:hint="eastAsia"/>
                <w:spacing w:val="6"/>
                <w:sz w:val="24"/>
              </w:rPr>
              <w:t>泵类设备等机械噪声</w:t>
            </w:r>
            <w:r>
              <w:rPr>
                <w:sz w:val="24"/>
              </w:rPr>
              <w:t>。</w:t>
            </w:r>
          </w:p>
          <w:p>
            <w:pPr>
              <w:pStyle w:val="19"/>
              <w:widowControl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（4）固体废物：生活垃圾、医疗废物、污泥</w:t>
            </w:r>
            <w:r>
              <w:rPr>
                <w:rFonts w:hint="eastAsia" w:ascii="Times New Roman" w:hAnsi="Times New Roman"/>
              </w:rPr>
              <w:t>、废油脂</w:t>
            </w:r>
            <w:r>
              <w:rPr>
                <w:rFonts w:ascii="Times New Roman" w:hAnsi="Times New Roman"/>
              </w:rPr>
              <w:t>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5" w:type="dxa"/>
            <w:vAlign w:val="center"/>
          </w:tcPr>
          <w:p>
            <w:pPr>
              <w:pStyle w:val="19"/>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605" w:type="dxa"/>
            <w:vAlign w:val="center"/>
          </w:tcPr>
          <w:p>
            <w:pPr>
              <w:spacing w:line="360" w:lineRule="auto"/>
              <w:ind w:firstLine="480" w:firstLineChars="200"/>
              <w:rPr>
                <w:bCs/>
                <w:sz w:val="24"/>
              </w:rPr>
            </w:pPr>
            <w:r>
              <w:rPr>
                <w:rFonts w:hint="eastAsia"/>
                <w:bCs/>
                <w:sz w:val="24"/>
                <w:lang w:val="en-GB"/>
              </w:rPr>
              <w:t>本项目位于</w:t>
            </w:r>
            <w:r>
              <w:rPr>
                <w:rFonts w:hint="eastAsia"/>
                <w:bCs/>
                <w:sz w:val="24"/>
              </w:rPr>
              <w:t>陕西省榆林市子洲县马蹄沟镇，项目占地范围内包括马蹄沟镇中心卫生院和子洲县教育培训中心（卫校），由于建设较早，没有环保手续。</w:t>
            </w:r>
          </w:p>
          <w:p>
            <w:pPr>
              <w:spacing w:line="360" w:lineRule="auto"/>
              <w:ind w:firstLine="480" w:firstLineChars="200"/>
              <w:rPr>
                <w:bCs/>
                <w:sz w:val="24"/>
                <w:lang w:val="en-GB"/>
              </w:rPr>
            </w:pPr>
            <w:r>
              <w:rPr>
                <w:rFonts w:hint="eastAsia"/>
                <w:bCs/>
                <w:sz w:val="24"/>
                <w:lang w:val="en-GB"/>
              </w:rPr>
              <w:t>本项目为新建项目，</w:t>
            </w:r>
            <w:r>
              <w:rPr>
                <w:rFonts w:hint="eastAsia"/>
                <w:bCs/>
                <w:sz w:val="24"/>
              </w:rPr>
              <w:t>建设期拆除马蹄沟镇中心卫生院现有</w:t>
            </w:r>
            <w:r>
              <w:rPr>
                <w:rFonts w:hint="eastAsia"/>
                <w:sz w:val="24"/>
              </w:rPr>
              <w:t>建筑面积1866m</w:t>
            </w:r>
            <w:r>
              <w:rPr>
                <w:sz w:val="24"/>
                <w:vertAlign w:val="superscript"/>
              </w:rPr>
              <w:t>2</w:t>
            </w:r>
            <w:r>
              <w:rPr>
                <w:rFonts w:hint="eastAsia"/>
                <w:sz w:val="24"/>
              </w:rPr>
              <w:t>，拆除围墙346.36m，拆除铺装面积2441.82m</w:t>
            </w:r>
            <w:r>
              <w:rPr>
                <w:sz w:val="24"/>
                <w:vertAlign w:val="superscript"/>
              </w:rPr>
              <w:t>2</w:t>
            </w:r>
            <w:r>
              <w:rPr>
                <w:rFonts w:hint="eastAsia"/>
                <w:sz w:val="24"/>
              </w:rPr>
              <w:t>。</w:t>
            </w:r>
          </w:p>
          <w:p>
            <w:pPr>
              <w:spacing w:line="360" w:lineRule="auto"/>
              <w:ind w:firstLine="480" w:firstLineChars="200"/>
              <w:rPr>
                <w:rFonts w:hint="eastAsia"/>
                <w:bCs/>
                <w:sz w:val="24"/>
                <w:lang w:val="en-GB"/>
              </w:rPr>
            </w:pPr>
            <w:r>
              <w:rPr>
                <w:rFonts w:hint="eastAsia"/>
                <w:bCs/>
                <w:sz w:val="24"/>
              </w:rPr>
              <w:t>经现场踏勘，本项目还未开工建设，</w:t>
            </w:r>
            <w:r>
              <w:rPr>
                <w:bCs/>
                <w:sz w:val="24"/>
                <w:lang w:val="en-GB"/>
              </w:rPr>
              <w:t>不存在原有污染及环境问题。</w:t>
            </w:r>
          </w:p>
          <w:p>
            <w:pPr>
              <w:spacing w:line="360" w:lineRule="auto"/>
              <w:ind w:firstLine="480" w:firstLineChars="200"/>
              <w:rPr>
                <w:rFonts w:hint="eastAsia"/>
                <w:bCs/>
                <w:sz w:val="24"/>
                <w:lang w:val="en-GB"/>
              </w:rPr>
            </w:pPr>
          </w:p>
          <w:p>
            <w:pPr>
              <w:spacing w:line="360" w:lineRule="auto"/>
              <w:ind w:firstLine="480" w:firstLineChars="200"/>
              <w:rPr>
                <w:rFonts w:hint="eastAsia"/>
                <w:bCs/>
                <w:sz w:val="24"/>
                <w:lang w:val="en-GB"/>
              </w:rPr>
            </w:pPr>
          </w:p>
          <w:p>
            <w:pPr>
              <w:spacing w:line="360" w:lineRule="auto"/>
              <w:ind w:firstLine="480" w:firstLineChars="200"/>
              <w:rPr>
                <w:rFonts w:hint="eastAsia"/>
                <w:bCs/>
                <w:sz w:val="24"/>
                <w:lang w:val="en-GB"/>
              </w:rPr>
            </w:pPr>
          </w:p>
          <w:p>
            <w:pPr>
              <w:spacing w:line="360" w:lineRule="auto"/>
              <w:ind w:firstLine="480" w:firstLineChars="200"/>
              <w:rPr>
                <w:rFonts w:hint="eastAsia"/>
                <w:bCs/>
                <w:sz w:val="24"/>
                <w:lang w:val="en-GB"/>
              </w:rPr>
            </w:pPr>
          </w:p>
          <w:p>
            <w:pPr>
              <w:spacing w:line="360" w:lineRule="auto"/>
              <w:ind w:firstLine="480" w:firstLineChars="200"/>
              <w:rPr>
                <w:rFonts w:hint="eastAsia"/>
                <w:bCs/>
                <w:sz w:val="24"/>
                <w:lang w:val="en-GB"/>
              </w:rPr>
            </w:pPr>
          </w:p>
          <w:p>
            <w:pPr>
              <w:spacing w:line="360" w:lineRule="auto"/>
              <w:rPr>
                <w:bCs/>
                <w:sz w:val="24"/>
                <w:lang w:val="en-GB"/>
              </w:rPr>
            </w:pPr>
          </w:p>
        </w:tc>
      </w:tr>
    </w:tbl>
    <w:p>
      <w:pPr>
        <w:pStyle w:val="19"/>
        <w:snapToGrid w:val="0"/>
        <w:spacing w:before="0" w:beforeAutospacing="0" w:after="0" w:afterAutospacing="0"/>
        <w:jc w:val="center"/>
        <w:rPr>
          <w:rFonts w:ascii="Times New Roman" w:hAnsi="Times New Roman" w:eastAsia="黑体"/>
          <w:snapToGrid w:val="0"/>
          <w:szCs w:val="24"/>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15" w:lineRule="auto"/>
        <w:jc w:val="center"/>
        <w:rPr>
          <w:rFonts w:ascii="Times New Roman" w:hAnsi="Times New Roman" w:eastAsia="黑体"/>
          <w:snapToGrid w:val="0"/>
          <w:sz w:val="30"/>
          <w:szCs w:val="30"/>
        </w:rPr>
      </w:pPr>
    </w:p>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56" w:type="dxa"/>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adjustRightInd w:val="0"/>
              <w:snapToGrid w:val="0"/>
              <w:jc w:val="center"/>
              <w:rPr>
                <w:kern w:val="0"/>
                <w:sz w:val="24"/>
              </w:rPr>
            </w:pPr>
            <w:r>
              <w:rPr>
                <w:kern w:val="0"/>
                <w:sz w:val="24"/>
              </w:rPr>
              <w:t>现状</w:t>
            </w:r>
          </w:p>
        </w:tc>
        <w:tc>
          <w:tcPr>
            <w:tcW w:w="8605" w:type="dxa"/>
            <w:vAlign w:val="center"/>
          </w:tcPr>
          <w:p>
            <w:pPr>
              <w:keepNext/>
              <w:keepLines/>
              <w:adjustRightInd w:val="0"/>
              <w:snapToGrid w:val="0"/>
              <w:spacing w:line="360" w:lineRule="auto"/>
              <w:ind w:firstLine="470" w:firstLineChars="196"/>
              <w:outlineLvl w:val="1"/>
              <w:rPr>
                <w:sz w:val="24"/>
              </w:rPr>
            </w:pPr>
            <w:r>
              <w:rPr>
                <w:sz w:val="24"/>
              </w:rPr>
              <w:t>1、环境空气</w:t>
            </w:r>
          </w:p>
          <w:p>
            <w:pPr>
              <w:pStyle w:val="63"/>
              <w:ind w:firstLine="480"/>
              <w:rPr>
                <w:rFonts w:ascii="Times New Roman" w:hAnsi="Times New Roman" w:cs="Times New Roman"/>
              </w:rPr>
            </w:pPr>
            <w:r>
              <w:rPr>
                <w:rFonts w:ascii="Times New Roman" w:hAnsi="Times New Roman" w:cs="Times New Roman"/>
              </w:rPr>
              <w:t>（1）基本污染物环境质量现状</w:t>
            </w:r>
          </w:p>
          <w:p>
            <w:pPr>
              <w:pStyle w:val="63"/>
              <w:ind w:firstLine="480"/>
              <w:rPr>
                <w:rFonts w:ascii="Times New Roman" w:hAnsi="Times New Roman" w:cs="Times New Roman"/>
              </w:rPr>
            </w:pPr>
            <w:r>
              <w:rPr>
                <w:rFonts w:ascii="Times New Roman" w:hAnsi="Times New Roman" w:cs="Times New Roman"/>
              </w:rPr>
              <w:t>根据陕西省生态环境厅</w:t>
            </w:r>
            <w:r>
              <w:rPr>
                <w:rFonts w:hint="eastAsia" w:ascii="Times New Roman" w:hAnsi="Times New Roman" w:cs="Times New Roman"/>
              </w:rPr>
              <w:t>办公室</w:t>
            </w:r>
            <w:r>
              <w:rPr>
                <w:rFonts w:ascii="Times New Roman" w:hAnsi="Times New Roman" w:cs="Times New Roman"/>
              </w:rPr>
              <w:t>发布《环保快报》(202</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9</w:t>
            </w:r>
            <w:r>
              <w:rPr>
                <w:rFonts w:ascii="Times New Roman" w:hAnsi="Times New Roman" w:cs="Times New Roman"/>
              </w:rPr>
              <w:t>)中“202</w:t>
            </w:r>
            <w:r>
              <w:rPr>
                <w:rFonts w:hint="eastAsia" w:ascii="Times New Roman" w:hAnsi="Times New Roman" w:cs="Times New Roman"/>
              </w:rPr>
              <w:t>2</w:t>
            </w:r>
            <w:r>
              <w:rPr>
                <w:rFonts w:ascii="Times New Roman" w:hAnsi="Times New Roman" w:cs="Times New Roman"/>
              </w:rPr>
              <w:t>年1~12月</w:t>
            </w:r>
            <w:r>
              <w:rPr>
                <w:rFonts w:hint="eastAsia" w:ascii="Times New Roman" w:hAnsi="Times New Roman" w:cs="Times New Roman"/>
              </w:rPr>
              <w:t>陕北</w:t>
            </w:r>
            <w:r>
              <w:rPr>
                <w:rFonts w:ascii="Times New Roman" w:hAnsi="Times New Roman" w:cs="Times New Roman"/>
              </w:rPr>
              <w:t>地区26个县（区）空气质量状况统计表”中</w:t>
            </w:r>
            <w:r>
              <w:rPr>
                <w:rFonts w:hint="eastAsia" w:ascii="Times New Roman" w:hAnsi="Times New Roman" w:cs="Times New Roman"/>
              </w:rPr>
              <w:t>榆林市子洲县</w:t>
            </w:r>
            <w:r>
              <w:rPr>
                <w:rFonts w:ascii="Times New Roman" w:hAnsi="Times New Roman" w:cs="Times New Roman"/>
              </w:rPr>
              <w:t>202</w:t>
            </w:r>
            <w:r>
              <w:rPr>
                <w:rFonts w:hint="eastAsia" w:ascii="Times New Roman" w:hAnsi="Times New Roman" w:cs="Times New Roman"/>
              </w:rPr>
              <w:t>2</w:t>
            </w:r>
            <w:r>
              <w:rPr>
                <w:rFonts w:ascii="Times New Roman" w:hAnsi="Times New Roman" w:cs="Times New Roman"/>
              </w:rPr>
              <w:t>年环境空气质量中的数据，监测的项目有二氧化硫、二氧化氮、一氧化碳、</w:t>
            </w:r>
            <w:r>
              <w:rPr>
                <w:rFonts w:hint="eastAsia" w:ascii="Times New Roman" w:hAnsi="Times New Roman" w:cs="Times New Roman"/>
              </w:rPr>
              <w:t>臭氧</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共六项。环境空气质量主要污染物项目浓度达标分析见表3-1。</w:t>
            </w:r>
          </w:p>
          <w:p>
            <w:pPr>
              <w:jc w:val="center"/>
              <w:rPr>
                <w:b/>
                <w:bCs/>
                <w:sz w:val="24"/>
              </w:rPr>
            </w:pPr>
            <w:r>
              <w:rPr>
                <w:b/>
                <w:bCs/>
                <w:sz w:val="24"/>
              </w:rPr>
              <w:t>表3-1   区域空气质量现状评价表</w:t>
            </w:r>
          </w:p>
          <w:tbl>
            <w:tblPr>
              <w:tblStyle w:val="21"/>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985"/>
              <w:gridCol w:w="1134"/>
              <w:gridCol w:w="1559"/>
              <w:gridCol w:w="1134"/>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b/>
                      <w:bCs/>
                      <w:szCs w:val="21"/>
                    </w:rPr>
                  </w:pPr>
                  <w:r>
                    <w:rPr>
                      <w:b/>
                      <w:bCs/>
                      <w:szCs w:val="21"/>
                    </w:rPr>
                    <w:t>污染物</w:t>
                  </w:r>
                </w:p>
              </w:tc>
              <w:tc>
                <w:tcPr>
                  <w:tcW w:w="1985" w:type="dxa"/>
                  <w:vAlign w:val="center"/>
                </w:tcPr>
                <w:p>
                  <w:pPr>
                    <w:snapToGrid w:val="0"/>
                    <w:jc w:val="center"/>
                    <w:rPr>
                      <w:b/>
                      <w:bCs/>
                      <w:szCs w:val="21"/>
                    </w:rPr>
                  </w:pPr>
                  <w:r>
                    <w:rPr>
                      <w:b/>
                      <w:bCs/>
                      <w:szCs w:val="21"/>
                    </w:rPr>
                    <w:t>年评价指标</w:t>
                  </w:r>
                </w:p>
              </w:tc>
              <w:tc>
                <w:tcPr>
                  <w:tcW w:w="1134" w:type="dxa"/>
                  <w:vAlign w:val="center"/>
                </w:tcPr>
                <w:p>
                  <w:pPr>
                    <w:snapToGrid w:val="0"/>
                    <w:jc w:val="center"/>
                    <w:rPr>
                      <w:b/>
                      <w:bCs/>
                      <w:szCs w:val="21"/>
                    </w:rPr>
                  </w:pPr>
                  <w:r>
                    <w:rPr>
                      <w:b/>
                      <w:bCs/>
                      <w:szCs w:val="21"/>
                    </w:rPr>
                    <w:t>现状浓度</w:t>
                  </w:r>
                </w:p>
              </w:tc>
              <w:tc>
                <w:tcPr>
                  <w:tcW w:w="1559" w:type="dxa"/>
                  <w:vAlign w:val="center"/>
                </w:tcPr>
                <w:p>
                  <w:pPr>
                    <w:snapToGrid w:val="0"/>
                    <w:jc w:val="center"/>
                    <w:rPr>
                      <w:b/>
                      <w:bCs/>
                      <w:szCs w:val="21"/>
                    </w:rPr>
                  </w:pPr>
                  <w:r>
                    <w:rPr>
                      <w:b/>
                      <w:bCs/>
                      <w:szCs w:val="21"/>
                    </w:rPr>
                    <w:t>标准值</w:t>
                  </w:r>
                </w:p>
              </w:tc>
              <w:tc>
                <w:tcPr>
                  <w:tcW w:w="1134" w:type="dxa"/>
                  <w:vAlign w:val="center"/>
                </w:tcPr>
                <w:p>
                  <w:pPr>
                    <w:snapToGrid w:val="0"/>
                    <w:jc w:val="center"/>
                    <w:rPr>
                      <w:b/>
                      <w:bCs/>
                      <w:szCs w:val="21"/>
                    </w:rPr>
                  </w:pPr>
                  <w:r>
                    <w:rPr>
                      <w:b/>
                      <w:bCs/>
                      <w:szCs w:val="21"/>
                    </w:rPr>
                    <w:t>占标率%</w:t>
                  </w:r>
                </w:p>
              </w:tc>
              <w:tc>
                <w:tcPr>
                  <w:tcW w:w="755" w:type="dxa"/>
                  <w:vAlign w:val="center"/>
                </w:tcPr>
                <w:p>
                  <w:pPr>
                    <w:snapToGrid w:val="0"/>
                    <w:jc w:val="center"/>
                    <w:rPr>
                      <w:b/>
                      <w:bCs/>
                      <w:szCs w:val="21"/>
                    </w:rPr>
                  </w:pPr>
                  <w:r>
                    <w:rPr>
                      <w:b/>
                      <w:bCs/>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szCs w:val="21"/>
                    </w:rPr>
                    <w:t>可吸入颗物（PM</w:t>
                  </w:r>
                  <w:r>
                    <w:rPr>
                      <w:szCs w:val="21"/>
                      <w:vertAlign w:val="subscript"/>
                    </w:rPr>
                    <w:t>10</w:t>
                  </w:r>
                  <w:r>
                    <w:rPr>
                      <w:szCs w:val="21"/>
                    </w:rPr>
                    <w:t>）</w:t>
                  </w:r>
                </w:p>
              </w:tc>
              <w:tc>
                <w:tcPr>
                  <w:tcW w:w="1985" w:type="dxa"/>
                  <w:vAlign w:val="center"/>
                </w:tcPr>
                <w:p>
                  <w:pPr>
                    <w:snapToGrid w:val="0"/>
                    <w:jc w:val="center"/>
                    <w:rPr>
                      <w:szCs w:val="21"/>
                    </w:rPr>
                  </w:pPr>
                  <w:r>
                    <w:rPr>
                      <w:szCs w:val="21"/>
                    </w:rPr>
                    <w:t>年平均质量浓度</w:t>
                  </w:r>
                </w:p>
              </w:tc>
              <w:tc>
                <w:tcPr>
                  <w:tcW w:w="1134" w:type="dxa"/>
                  <w:vAlign w:val="center"/>
                </w:tcPr>
                <w:p>
                  <w:pPr>
                    <w:jc w:val="center"/>
                    <w:rPr>
                      <w:szCs w:val="21"/>
                    </w:rPr>
                  </w:pPr>
                  <w:r>
                    <w:rPr>
                      <w:szCs w:val="21"/>
                    </w:rPr>
                    <w:t>52ug/m</w:t>
                  </w:r>
                  <w:r>
                    <w:rPr>
                      <w:szCs w:val="21"/>
                      <w:vertAlign w:val="superscript"/>
                    </w:rPr>
                    <w:t>3</w:t>
                  </w:r>
                </w:p>
              </w:tc>
              <w:tc>
                <w:tcPr>
                  <w:tcW w:w="1559" w:type="dxa"/>
                  <w:vAlign w:val="center"/>
                </w:tcPr>
                <w:p>
                  <w:pPr>
                    <w:jc w:val="center"/>
                    <w:rPr>
                      <w:szCs w:val="21"/>
                    </w:rPr>
                  </w:pPr>
                  <w:r>
                    <w:rPr>
                      <w:szCs w:val="21"/>
                    </w:rPr>
                    <w:t>70ug/m</w:t>
                  </w:r>
                  <w:r>
                    <w:rPr>
                      <w:szCs w:val="21"/>
                      <w:vertAlign w:val="superscript"/>
                    </w:rPr>
                    <w:t>3</w:t>
                  </w:r>
                </w:p>
              </w:tc>
              <w:tc>
                <w:tcPr>
                  <w:tcW w:w="1134" w:type="dxa"/>
                  <w:vAlign w:val="center"/>
                </w:tcPr>
                <w:p>
                  <w:pPr>
                    <w:jc w:val="center"/>
                    <w:rPr>
                      <w:szCs w:val="21"/>
                    </w:rPr>
                  </w:pPr>
                  <w:r>
                    <w:rPr>
                      <w:szCs w:val="21"/>
                    </w:rPr>
                    <w:t>74.3</w:t>
                  </w:r>
                </w:p>
              </w:tc>
              <w:tc>
                <w:tcPr>
                  <w:tcW w:w="755" w:type="dxa"/>
                  <w:vAlign w:val="center"/>
                </w:tcPr>
                <w:p>
                  <w:pPr>
                    <w:snapToGrid w:val="0"/>
                    <w:jc w:val="center"/>
                    <w:rPr>
                      <w:szCs w:val="21"/>
                    </w:rPr>
                  </w:pPr>
                  <w:r>
                    <w:rPr>
                      <w:rFonts w:hint="eastAsia"/>
                      <w:szCs w:val="21"/>
                    </w:rPr>
                    <w:t>达</w:t>
                  </w:r>
                  <w:r>
                    <w:rPr>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szCs w:val="21"/>
                    </w:rPr>
                    <w:t>细颗粒物（PM</w:t>
                  </w:r>
                  <w:r>
                    <w:rPr>
                      <w:szCs w:val="21"/>
                      <w:vertAlign w:val="subscript"/>
                    </w:rPr>
                    <w:t>2.5</w:t>
                  </w:r>
                  <w:r>
                    <w:rPr>
                      <w:szCs w:val="21"/>
                    </w:rPr>
                    <w:t>）</w:t>
                  </w:r>
                </w:p>
              </w:tc>
              <w:tc>
                <w:tcPr>
                  <w:tcW w:w="1985" w:type="dxa"/>
                  <w:vAlign w:val="center"/>
                </w:tcPr>
                <w:p>
                  <w:pPr>
                    <w:snapToGrid w:val="0"/>
                    <w:jc w:val="center"/>
                    <w:rPr>
                      <w:szCs w:val="21"/>
                    </w:rPr>
                  </w:pPr>
                  <w:r>
                    <w:rPr>
                      <w:szCs w:val="21"/>
                    </w:rPr>
                    <w:t>年平均质量浓度</w:t>
                  </w:r>
                </w:p>
              </w:tc>
              <w:tc>
                <w:tcPr>
                  <w:tcW w:w="1134" w:type="dxa"/>
                  <w:vAlign w:val="center"/>
                </w:tcPr>
                <w:p>
                  <w:pPr>
                    <w:jc w:val="center"/>
                    <w:rPr>
                      <w:szCs w:val="21"/>
                    </w:rPr>
                  </w:pPr>
                  <w:r>
                    <w:rPr>
                      <w:szCs w:val="21"/>
                    </w:rPr>
                    <w:t>29ug/m</w:t>
                  </w:r>
                  <w:r>
                    <w:rPr>
                      <w:szCs w:val="21"/>
                      <w:vertAlign w:val="superscript"/>
                    </w:rPr>
                    <w:t>3</w:t>
                  </w:r>
                </w:p>
              </w:tc>
              <w:tc>
                <w:tcPr>
                  <w:tcW w:w="1559" w:type="dxa"/>
                  <w:vAlign w:val="center"/>
                </w:tcPr>
                <w:p>
                  <w:pPr>
                    <w:jc w:val="center"/>
                    <w:rPr>
                      <w:szCs w:val="21"/>
                    </w:rPr>
                  </w:pPr>
                  <w:r>
                    <w:rPr>
                      <w:szCs w:val="21"/>
                    </w:rPr>
                    <w:t>35ug/m</w:t>
                  </w:r>
                  <w:r>
                    <w:rPr>
                      <w:szCs w:val="21"/>
                      <w:vertAlign w:val="superscript"/>
                    </w:rPr>
                    <w:t>3</w:t>
                  </w:r>
                </w:p>
              </w:tc>
              <w:tc>
                <w:tcPr>
                  <w:tcW w:w="1134" w:type="dxa"/>
                  <w:vAlign w:val="center"/>
                </w:tcPr>
                <w:p>
                  <w:pPr>
                    <w:jc w:val="center"/>
                    <w:rPr>
                      <w:szCs w:val="21"/>
                    </w:rPr>
                  </w:pPr>
                  <w:r>
                    <w:rPr>
                      <w:szCs w:val="21"/>
                    </w:rPr>
                    <w:t>82.8</w:t>
                  </w:r>
                </w:p>
              </w:tc>
              <w:tc>
                <w:tcPr>
                  <w:tcW w:w="755" w:type="dxa"/>
                  <w:vAlign w:val="center"/>
                </w:tcPr>
                <w:p>
                  <w:pPr>
                    <w:snapToGrid w:val="0"/>
                    <w:jc w:val="center"/>
                    <w:rPr>
                      <w:szCs w:val="21"/>
                    </w:rPr>
                  </w:pPr>
                  <w:r>
                    <w:rPr>
                      <w:rFonts w:hint="eastAsia"/>
                      <w:szCs w:val="21"/>
                    </w:rPr>
                    <w:t>达</w:t>
                  </w:r>
                  <w:r>
                    <w:rPr>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szCs w:val="21"/>
                    </w:rPr>
                    <w:t>二氧化硫（SO</w:t>
                  </w:r>
                  <w:r>
                    <w:rPr>
                      <w:szCs w:val="21"/>
                      <w:vertAlign w:val="subscript"/>
                    </w:rPr>
                    <w:t>2</w:t>
                  </w:r>
                  <w:r>
                    <w:rPr>
                      <w:szCs w:val="21"/>
                    </w:rPr>
                    <w:t>）</w:t>
                  </w:r>
                </w:p>
              </w:tc>
              <w:tc>
                <w:tcPr>
                  <w:tcW w:w="1985" w:type="dxa"/>
                  <w:vAlign w:val="center"/>
                </w:tcPr>
                <w:p>
                  <w:pPr>
                    <w:snapToGrid w:val="0"/>
                    <w:jc w:val="center"/>
                    <w:rPr>
                      <w:szCs w:val="21"/>
                    </w:rPr>
                  </w:pPr>
                  <w:r>
                    <w:rPr>
                      <w:szCs w:val="21"/>
                    </w:rPr>
                    <w:t>年平均质量浓度</w:t>
                  </w:r>
                </w:p>
              </w:tc>
              <w:tc>
                <w:tcPr>
                  <w:tcW w:w="1134" w:type="dxa"/>
                  <w:vAlign w:val="center"/>
                </w:tcPr>
                <w:p>
                  <w:pPr>
                    <w:jc w:val="center"/>
                    <w:rPr>
                      <w:szCs w:val="21"/>
                    </w:rPr>
                  </w:pPr>
                  <w:r>
                    <w:rPr>
                      <w:szCs w:val="21"/>
                    </w:rPr>
                    <w:t>9ug/m</w:t>
                  </w:r>
                  <w:r>
                    <w:rPr>
                      <w:szCs w:val="21"/>
                      <w:vertAlign w:val="superscript"/>
                    </w:rPr>
                    <w:t>3</w:t>
                  </w:r>
                </w:p>
              </w:tc>
              <w:tc>
                <w:tcPr>
                  <w:tcW w:w="1559" w:type="dxa"/>
                  <w:vAlign w:val="center"/>
                </w:tcPr>
                <w:p>
                  <w:pPr>
                    <w:jc w:val="center"/>
                    <w:rPr>
                      <w:szCs w:val="21"/>
                    </w:rPr>
                  </w:pPr>
                  <w:r>
                    <w:rPr>
                      <w:szCs w:val="21"/>
                    </w:rPr>
                    <w:t>60ug/m</w:t>
                  </w:r>
                  <w:r>
                    <w:rPr>
                      <w:szCs w:val="21"/>
                      <w:vertAlign w:val="superscript"/>
                    </w:rPr>
                    <w:t>3</w:t>
                  </w:r>
                </w:p>
              </w:tc>
              <w:tc>
                <w:tcPr>
                  <w:tcW w:w="1134" w:type="dxa"/>
                  <w:vAlign w:val="center"/>
                </w:tcPr>
                <w:p>
                  <w:pPr>
                    <w:jc w:val="center"/>
                    <w:rPr>
                      <w:szCs w:val="21"/>
                    </w:rPr>
                  </w:pPr>
                  <w:r>
                    <w:rPr>
                      <w:szCs w:val="21"/>
                    </w:rPr>
                    <w:t>15.0</w:t>
                  </w:r>
                </w:p>
              </w:tc>
              <w:tc>
                <w:tcPr>
                  <w:tcW w:w="755" w:type="dxa"/>
                  <w:vAlign w:val="center"/>
                </w:tcPr>
                <w:p>
                  <w:pPr>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szCs w:val="21"/>
                    </w:rPr>
                    <w:t>二氧化氮（NO</w:t>
                  </w:r>
                  <w:r>
                    <w:rPr>
                      <w:szCs w:val="21"/>
                      <w:vertAlign w:val="subscript"/>
                    </w:rPr>
                    <w:t>2</w:t>
                  </w:r>
                  <w:r>
                    <w:rPr>
                      <w:szCs w:val="21"/>
                    </w:rPr>
                    <w:t>）</w:t>
                  </w:r>
                </w:p>
              </w:tc>
              <w:tc>
                <w:tcPr>
                  <w:tcW w:w="1985" w:type="dxa"/>
                  <w:vAlign w:val="center"/>
                </w:tcPr>
                <w:p>
                  <w:pPr>
                    <w:snapToGrid w:val="0"/>
                    <w:jc w:val="center"/>
                    <w:rPr>
                      <w:szCs w:val="21"/>
                    </w:rPr>
                  </w:pPr>
                  <w:r>
                    <w:rPr>
                      <w:szCs w:val="21"/>
                    </w:rPr>
                    <w:t>年平均质量</w:t>
                  </w:r>
                  <w:r>
                    <w:rPr>
                      <w:szCs w:val="21"/>
                    </w:rPr>
                    <w:cr/>
                  </w:r>
                  <w:r>
                    <w:rPr>
                      <w:szCs w:val="21"/>
                    </w:rPr>
                    <w:t>度</w:t>
                  </w:r>
                </w:p>
              </w:tc>
              <w:tc>
                <w:tcPr>
                  <w:tcW w:w="1134" w:type="dxa"/>
                  <w:vAlign w:val="center"/>
                </w:tcPr>
                <w:p>
                  <w:pPr>
                    <w:jc w:val="center"/>
                    <w:rPr>
                      <w:szCs w:val="21"/>
                    </w:rPr>
                  </w:pPr>
                  <w:r>
                    <w:rPr>
                      <w:szCs w:val="21"/>
                    </w:rPr>
                    <w:t>28ug/m</w:t>
                  </w:r>
                  <w:r>
                    <w:rPr>
                      <w:szCs w:val="21"/>
                      <w:vertAlign w:val="superscript"/>
                    </w:rPr>
                    <w:t>3</w:t>
                  </w:r>
                </w:p>
              </w:tc>
              <w:tc>
                <w:tcPr>
                  <w:tcW w:w="1559" w:type="dxa"/>
                  <w:vAlign w:val="center"/>
                </w:tcPr>
                <w:p>
                  <w:pPr>
                    <w:jc w:val="center"/>
                    <w:rPr>
                      <w:szCs w:val="21"/>
                    </w:rPr>
                  </w:pPr>
                  <w:r>
                    <w:rPr>
                      <w:szCs w:val="21"/>
                    </w:rPr>
                    <w:t>40ug/m</w:t>
                  </w:r>
                  <w:r>
                    <w:rPr>
                      <w:szCs w:val="21"/>
                      <w:vertAlign w:val="superscript"/>
                    </w:rPr>
                    <w:t>3</w:t>
                  </w:r>
                </w:p>
              </w:tc>
              <w:tc>
                <w:tcPr>
                  <w:tcW w:w="1134" w:type="dxa"/>
                  <w:vAlign w:val="center"/>
                </w:tcPr>
                <w:p>
                  <w:pPr>
                    <w:jc w:val="center"/>
                    <w:rPr>
                      <w:szCs w:val="21"/>
                    </w:rPr>
                  </w:pPr>
                  <w:r>
                    <w:rPr>
                      <w:szCs w:val="21"/>
                    </w:rPr>
                    <w:t>70.0</w:t>
                  </w:r>
                </w:p>
              </w:tc>
              <w:tc>
                <w:tcPr>
                  <w:tcW w:w="755" w:type="dxa"/>
                  <w:vAlign w:val="center"/>
                </w:tcPr>
                <w:p>
                  <w:pPr>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szCs w:val="21"/>
                    </w:rPr>
                    <w:t>一氧化碳（CO）</w:t>
                  </w:r>
                </w:p>
              </w:tc>
              <w:tc>
                <w:tcPr>
                  <w:tcW w:w="1985" w:type="dxa"/>
                  <w:vAlign w:val="center"/>
                </w:tcPr>
                <w:p>
                  <w:pPr>
                    <w:snapToGrid w:val="0"/>
                    <w:jc w:val="center"/>
                    <w:rPr>
                      <w:szCs w:val="21"/>
                    </w:rPr>
                  </w:pPr>
                  <w:r>
                    <w:rPr>
                      <w:szCs w:val="21"/>
                    </w:rPr>
                    <w:t>第95百分位浓度</w:t>
                  </w:r>
                </w:p>
              </w:tc>
              <w:tc>
                <w:tcPr>
                  <w:tcW w:w="1134" w:type="dxa"/>
                  <w:vAlign w:val="center"/>
                </w:tcPr>
                <w:p>
                  <w:pPr>
                    <w:jc w:val="center"/>
                    <w:rPr>
                      <w:szCs w:val="21"/>
                    </w:rPr>
                  </w:pPr>
                  <w:r>
                    <w:rPr>
                      <w:szCs w:val="21"/>
                    </w:rPr>
                    <w:t>1.5mg/m</w:t>
                  </w:r>
                  <w:r>
                    <w:rPr>
                      <w:szCs w:val="21"/>
                      <w:vertAlign w:val="superscript"/>
                    </w:rPr>
                    <w:t>3</w:t>
                  </w:r>
                </w:p>
              </w:tc>
              <w:tc>
                <w:tcPr>
                  <w:tcW w:w="1559" w:type="dxa"/>
                  <w:vAlign w:val="center"/>
                </w:tcPr>
                <w:p>
                  <w:pPr>
                    <w:jc w:val="center"/>
                    <w:rPr>
                      <w:szCs w:val="21"/>
                    </w:rPr>
                  </w:pPr>
                  <w:r>
                    <w:rPr>
                      <w:szCs w:val="21"/>
                    </w:rPr>
                    <w:t>4mg/m</w:t>
                  </w:r>
                  <w:r>
                    <w:rPr>
                      <w:szCs w:val="21"/>
                      <w:vertAlign w:val="superscript"/>
                    </w:rPr>
                    <w:t>3</w:t>
                  </w:r>
                  <w:r>
                    <w:rPr>
                      <w:szCs w:val="21"/>
                    </w:rPr>
                    <w:t>（24小时平均）</w:t>
                  </w:r>
                </w:p>
              </w:tc>
              <w:tc>
                <w:tcPr>
                  <w:tcW w:w="1134" w:type="dxa"/>
                  <w:vAlign w:val="center"/>
                </w:tcPr>
                <w:p>
                  <w:pPr>
                    <w:jc w:val="center"/>
                    <w:rPr>
                      <w:szCs w:val="21"/>
                    </w:rPr>
                  </w:pPr>
                  <w:r>
                    <w:rPr>
                      <w:szCs w:val="21"/>
                    </w:rPr>
                    <w:t>37.5</w:t>
                  </w:r>
                </w:p>
              </w:tc>
              <w:tc>
                <w:tcPr>
                  <w:tcW w:w="755" w:type="dxa"/>
                  <w:vAlign w:val="center"/>
                </w:tcPr>
                <w:p>
                  <w:pPr>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1" w:type="dxa"/>
                  <w:vAlign w:val="center"/>
                </w:tcPr>
                <w:p>
                  <w:pPr>
                    <w:snapToGrid w:val="0"/>
                    <w:jc w:val="center"/>
                    <w:rPr>
                      <w:szCs w:val="21"/>
                    </w:rPr>
                  </w:pPr>
                  <w:r>
                    <w:rPr>
                      <w:rFonts w:hint="eastAsia"/>
                      <w:szCs w:val="21"/>
                    </w:rPr>
                    <w:t>臭氧</w:t>
                  </w:r>
                  <w:r>
                    <w:rPr>
                      <w:szCs w:val="21"/>
                    </w:rPr>
                    <w:t>（O</w:t>
                  </w:r>
                  <w:r>
                    <w:rPr>
                      <w:szCs w:val="21"/>
                      <w:vertAlign w:val="subscript"/>
                    </w:rPr>
                    <w:t>3</w:t>
                  </w:r>
                  <w:r>
                    <w:rPr>
                      <w:szCs w:val="21"/>
                    </w:rPr>
                    <w:t>）</w:t>
                  </w:r>
                </w:p>
              </w:tc>
              <w:tc>
                <w:tcPr>
                  <w:tcW w:w="1985" w:type="dxa"/>
                  <w:vAlign w:val="center"/>
                </w:tcPr>
                <w:p>
                  <w:pPr>
                    <w:snapToGrid w:val="0"/>
                    <w:jc w:val="center"/>
                    <w:rPr>
                      <w:szCs w:val="21"/>
                    </w:rPr>
                  </w:pPr>
                  <w:r>
                    <w:rPr>
                      <w:szCs w:val="21"/>
                    </w:rPr>
                    <w:t>第90百分位浓度</w:t>
                  </w:r>
                </w:p>
              </w:tc>
              <w:tc>
                <w:tcPr>
                  <w:tcW w:w="1134" w:type="dxa"/>
                  <w:vAlign w:val="center"/>
                </w:tcPr>
                <w:p>
                  <w:pPr>
                    <w:snapToGrid w:val="0"/>
                    <w:jc w:val="center"/>
                    <w:rPr>
                      <w:szCs w:val="21"/>
                    </w:rPr>
                  </w:pPr>
                  <w:r>
                    <w:rPr>
                      <w:szCs w:val="21"/>
                    </w:rPr>
                    <w:t>142ug/m</w:t>
                  </w:r>
                  <w:r>
                    <w:rPr>
                      <w:szCs w:val="21"/>
                      <w:vertAlign w:val="superscript"/>
                    </w:rPr>
                    <w:t>3</w:t>
                  </w:r>
                </w:p>
              </w:tc>
              <w:tc>
                <w:tcPr>
                  <w:tcW w:w="1559" w:type="dxa"/>
                  <w:vAlign w:val="center"/>
                </w:tcPr>
                <w:p>
                  <w:pPr>
                    <w:snapToGrid w:val="0"/>
                    <w:jc w:val="center"/>
                    <w:rPr>
                      <w:szCs w:val="21"/>
                    </w:rPr>
                  </w:pPr>
                  <w:r>
                    <w:rPr>
                      <w:szCs w:val="21"/>
                    </w:rPr>
                    <w:t>160ug/m</w:t>
                  </w:r>
                  <w:r>
                    <w:rPr>
                      <w:szCs w:val="21"/>
                      <w:vertAlign w:val="superscript"/>
                    </w:rPr>
                    <w:t>3</w:t>
                  </w:r>
                  <w:r>
                    <w:rPr>
                      <w:szCs w:val="21"/>
                    </w:rPr>
                    <w:t>（日最大8小时平均）</w:t>
                  </w:r>
                </w:p>
              </w:tc>
              <w:tc>
                <w:tcPr>
                  <w:tcW w:w="1134" w:type="dxa"/>
                  <w:vAlign w:val="center"/>
                </w:tcPr>
                <w:p>
                  <w:pPr>
                    <w:snapToGrid w:val="0"/>
                    <w:jc w:val="center"/>
                    <w:rPr>
                      <w:szCs w:val="21"/>
                    </w:rPr>
                  </w:pPr>
                  <w:r>
                    <w:rPr>
                      <w:szCs w:val="21"/>
                    </w:rPr>
                    <w:t>88.8</w:t>
                  </w:r>
                </w:p>
              </w:tc>
              <w:tc>
                <w:tcPr>
                  <w:tcW w:w="755" w:type="dxa"/>
                  <w:vAlign w:val="center"/>
                </w:tcPr>
                <w:p>
                  <w:pPr>
                    <w:snapToGrid w:val="0"/>
                    <w:jc w:val="center"/>
                    <w:rPr>
                      <w:szCs w:val="21"/>
                    </w:rPr>
                  </w:pPr>
                  <w:r>
                    <w:rPr>
                      <w:rFonts w:hint="eastAsia"/>
                      <w:szCs w:val="21"/>
                    </w:rPr>
                    <w:t>达</w:t>
                  </w:r>
                  <w:r>
                    <w:rPr>
                      <w:szCs w:val="21"/>
                    </w:rPr>
                    <w:t>标</w:t>
                  </w:r>
                </w:p>
              </w:tc>
            </w:tr>
          </w:tbl>
          <w:p>
            <w:pPr>
              <w:pStyle w:val="63"/>
              <w:ind w:firstLine="480"/>
              <w:rPr>
                <w:rFonts w:ascii="Times New Roman" w:hAnsi="Times New Roman" w:cs="Times New Roman"/>
              </w:rPr>
            </w:pPr>
            <w:r>
              <w:rPr>
                <w:rFonts w:ascii="Times New Roman" w:hAnsi="Times New Roman" w:cs="Times New Roman"/>
              </w:rPr>
              <w:t>评价区环境空气常规六项指标中，PM</w:t>
            </w:r>
            <w:r>
              <w:rPr>
                <w:rFonts w:ascii="Times New Roman" w:hAnsi="Times New Roman" w:cs="Times New Roman"/>
                <w:vertAlign w:val="subscript"/>
              </w:rPr>
              <w:t>10</w:t>
            </w:r>
            <w:r>
              <w:rPr>
                <w:rFonts w:ascii="Times New Roman" w:hAnsi="Times New Roman" w:cs="Times New Roman"/>
              </w:rPr>
              <w:t>年平均质量浓度、PM</w:t>
            </w:r>
            <w:r>
              <w:rPr>
                <w:rFonts w:ascii="Times New Roman" w:hAnsi="Times New Roman" w:cs="Times New Roman"/>
                <w:vertAlign w:val="subscript"/>
              </w:rPr>
              <w:t>2.5</w:t>
            </w:r>
            <w:r>
              <w:rPr>
                <w:rFonts w:ascii="Times New Roman" w:hAnsi="Times New Roman" w:cs="Times New Roman"/>
              </w:rPr>
              <w:t>年平均质量浓度、SO</w:t>
            </w:r>
            <w:r>
              <w:rPr>
                <w:rFonts w:ascii="Times New Roman" w:hAnsi="Times New Roman" w:cs="Times New Roman"/>
                <w:vertAlign w:val="subscript"/>
              </w:rPr>
              <w:t>2</w:t>
            </w:r>
            <w:r>
              <w:rPr>
                <w:rFonts w:ascii="Times New Roman" w:hAnsi="Times New Roman" w:cs="Times New Roman"/>
              </w:rPr>
              <w:t>年平均质量浓度、NO</w:t>
            </w:r>
            <w:r>
              <w:rPr>
                <w:rFonts w:ascii="Times New Roman" w:hAnsi="Times New Roman" w:cs="Times New Roman"/>
                <w:vertAlign w:val="subscript"/>
              </w:rPr>
              <w:t>2</w:t>
            </w:r>
            <w:r>
              <w:rPr>
                <w:rFonts w:ascii="Times New Roman" w:hAnsi="Times New Roman" w:cs="Times New Roman"/>
              </w:rPr>
              <w:t>年平均质量浓度</w:t>
            </w:r>
            <w:r>
              <w:rPr>
                <w:rFonts w:hint="eastAsia" w:ascii="Times New Roman" w:hAnsi="Times New Roman" w:cs="Times New Roman"/>
              </w:rPr>
              <w:t>、</w:t>
            </w:r>
            <w:r>
              <w:rPr>
                <w:rFonts w:ascii="Times New Roman" w:hAnsi="Times New Roman" w:cs="Times New Roman"/>
              </w:rPr>
              <w:t>CO</w:t>
            </w:r>
            <w:r>
              <w:rPr>
                <w:rFonts w:hint="eastAsia" w:ascii="Times New Roman" w:hAnsi="Times New Roman" w:cs="Times New Roman"/>
              </w:rPr>
              <w:t>第</w:t>
            </w:r>
            <w:r>
              <w:rPr>
                <w:rFonts w:ascii="Times New Roman" w:hAnsi="Times New Roman" w:cs="Times New Roman"/>
              </w:rPr>
              <w:t>95百分位数24h平均浓度</w:t>
            </w:r>
            <w:r>
              <w:rPr>
                <w:rFonts w:hint="eastAsia"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第90百分位浓度8小时平均浓度</w:t>
            </w:r>
            <w:r>
              <w:rPr>
                <w:rFonts w:hint="eastAsia" w:ascii="Times New Roman" w:hAnsi="Times New Roman" w:cs="Times New Roman"/>
              </w:rPr>
              <w:t>满足</w:t>
            </w:r>
            <w:r>
              <w:rPr>
                <w:rFonts w:ascii="Times New Roman" w:hAnsi="Times New Roman" w:cs="Times New Roman"/>
              </w:rPr>
              <w:t>《环境空气质量标准》（GB3095</w:t>
            </w:r>
            <w:r>
              <w:rPr>
                <w:rFonts w:hint="eastAsia" w:ascii="Times New Roman" w:hAnsi="Times New Roman" w:cs="Times New Roman"/>
              </w:rPr>
              <w:t>-</w:t>
            </w:r>
            <w:r>
              <w:rPr>
                <w:rFonts w:ascii="Times New Roman" w:hAnsi="Times New Roman" w:cs="Times New Roman"/>
              </w:rPr>
              <w:softHyphen/>
            </w:r>
            <w:r>
              <w:rPr>
                <w:rFonts w:ascii="Times New Roman" w:hAnsi="Times New Roman" w:cs="Times New Roman"/>
              </w:rPr>
              <w:t>2012）二级标准要求。</w:t>
            </w:r>
          </w:p>
          <w:p>
            <w:pPr>
              <w:pStyle w:val="63"/>
              <w:ind w:firstLine="480"/>
              <w:rPr>
                <w:rFonts w:ascii="Times New Roman" w:hAnsi="Times New Roman" w:cs="Times New Roman"/>
                <w:b/>
              </w:rPr>
            </w:pPr>
            <w:r>
              <w:rPr>
                <w:rFonts w:ascii="Times New Roman" w:hAnsi="Times New Roman" w:cs="Times New Roman"/>
              </w:rPr>
              <w:t>根据《环境影响评价技术导则</w:t>
            </w:r>
            <w:r>
              <w:rPr>
                <w:rFonts w:hint="eastAsia" w:ascii="Times New Roman" w:hAnsi="Times New Roman" w:cs="Times New Roman"/>
              </w:rPr>
              <w:t xml:space="preserve"> </w:t>
            </w:r>
            <w:r>
              <w:rPr>
                <w:rFonts w:ascii="Times New Roman" w:hAnsi="Times New Roman" w:cs="Times New Roman"/>
              </w:rPr>
              <w:t>大气环境》（HJ2.2</w:t>
            </w:r>
            <w:r>
              <w:rPr>
                <w:rFonts w:hint="eastAsia" w:ascii="Times New Roman" w:hAnsi="Times New Roman" w:cs="Times New Roman"/>
              </w:rPr>
              <w:t>-</w:t>
            </w:r>
            <w:r>
              <w:rPr>
                <w:rFonts w:ascii="Times New Roman" w:hAnsi="Times New Roman" w:cs="Times New Roman"/>
              </w:rPr>
              <w:softHyphen/>
            </w:r>
            <w:r>
              <w:rPr>
                <w:rFonts w:ascii="Times New Roman" w:hAnsi="Times New Roman" w:cs="Times New Roman"/>
              </w:rPr>
              <w:t>2018），城市环境空气质量达标情况评价指标为SO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、CO、O</w:t>
            </w:r>
            <w:r>
              <w:rPr>
                <w:rFonts w:ascii="Times New Roman" w:hAnsi="Times New Roman" w:cs="Times New Roman"/>
                <w:vertAlign w:val="subscript"/>
              </w:rPr>
              <w:t>3</w:t>
            </w:r>
            <w:r>
              <w:rPr>
                <w:rFonts w:ascii="Times New Roman" w:hAnsi="Times New Roman" w:cs="Times New Roman"/>
              </w:rPr>
              <w:t>，六项污染物年评价指标全部达标即为城市环境空气质量达标。因此，本项目所在区域属于达标区域。</w:t>
            </w:r>
          </w:p>
          <w:p>
            <w:pPr>
              <w:spacing w:line="360" w:lineRule="auto"/>
              <w:ind w:firstLine="480" w:firstLineChars="200"/>
              <w:rPr>
                <w:sz w:val="24"/>
              </w:rPr>
            </w:pPr>
            <w:bookmarkStart w:id="8" w:name="_Toc492382420"/>
            <w:bookmarkEnd w:id="8"/>
            <w:r>
              <w:rPr>
                <w:sz w:val="24"/>
              </w:rPr>
              <w:t>（2）其他污染物环境质量现状</w:t>
            </w:r>
          </w:p>
          <w:p>
            <w:pPr>
              <w:tabs>
                <w:tab w:val="left" w:pos="6120"/>
              </w:tabs>
              <w:spacing w:line="360" w:lineRule="auto"/>
              <w:ind w:firstLine="480" w:firstLineChars="200"/>
              <w:rPr>
                <w:rFonts w:cs="宋体"/>
                <w:sz w:val="24"/>
                <w:lang w:bidi="ar"/>
              </w:rPr>
            </w:pPr>
            <w:r>
              <w:rPr>
                <w:sz w:val="24"/>
              </w:rPr>
              <w:t>本项目特征污染物</w:t>
            </w:r>
            <w:r>
              <w:rPr>
                <w:rFonts w:hint="eastAsia"/>
                <w:sz w:val="24"/>
              </w:rPr>
              <w:t>为硫化氢、氨和臭气浓度，</w:t>
            </w:r>
            <w:r>
              <w:rPr>
                <w:sz w:val="24"/>
              </w:rPr>
              <w:t>为了解项目</w:t>
            </w:r>
            <w:r>
              <w:rPr>
                <w:rFonts w:hint="eastAsia"/>
                <w:sz w:val="24"/>
              </w:rPr>
              <w:t>特征</w:t>
            </w:r>
            <w:r>
              <w:rPr>
                <w:sz w:val="24"/>
              </w:rPr>
              <w:t>污染物环境质量现状，</w:t>
            </w:r>
            <w:r>
              <w:rPr>
                <w:rFonts w:hint="eastAsia" w:cs="宋体"/>
                <w:spacing w:val="6"/>
                <w:sz w:val="24"/>
                <w:lang w:bidi="ar"/>
              </w:rPr>
              <w:t>委托</w:t>
            </w:r>
            <w:r>
              <w:rPr>
                <w:rFonts w:hint="eastAsia" w:cs="宋体"/>
                <w:sz w:val="24"/>
                <w:lang w:bidi="ar"/>
              </w:rPr>
              <w:t>陕西浦安环境检测技术有限公司对项目区</w:t>
            </w:r>
            <w:r>
              <w:rPr>
                <w:rFonts w:hint="eastAsia"/>
                <w:sz w:val="24"/>
              </w:rPr>
              <w:t>硫化氢、氨和臭气浓度现状进行了监测。监测时间为</w:t>
            </w:r>
            <w:r>
              <w:rPr>
                <w:kern w:val="0"/>
                <w:sz w:val="24"/>
                <w:lang w:bidi="ar"/>
              </w:rPr>
              <w:t>202</w:t>
            </w:r>
            <w:r>
              <w:rPr>
                <w:rFonts w:hint="eastAsia"/>
                <w:kern w:val="0"/>
                <w:sz w:val="24"/>
                <w:lang w:bidi="ar"/>
              </w:rPr>
              <w:t>3</w:t>
            </w:r>
            <w:r>
              <w:rPr>
                <w:rFonts w:hint="eastAsia" w:cs="宋体"/>
                <w:kern w:val="0"/>
                <w:sz w:val="24"/>
                <w:lang w:bidi="ar"/>
              </w:rPr>
              <w:t>年</w:t>
            </w:r>
            <w:r>
              <w:rPr>
                <w:rFonts w:hint="eastAsia"/>
                <w:kern w:val="0"/>
                <w:sz w:val="24"/>
                <w:lang w:bidi="ar"/>
              </w:rPr>
              <w:t>6</w:t>
            </w:r>
            <w:r>
              <w:rPr>
                <w:rFonts w:hint="eastAsia" w:cs="宋体"/>
                <w:kern w:val="0"/>
                <w:sz w:val="24"/>
                <w:lang w:bidi="ar"/>
              </w:rPr>
              <w:t>月</w:t>
            </w:r>
            <w:r>
              <w:rPr>
                <w:rFonts w:hint="eastAsia"/>
                <w:kern w:val="0"/>
                <w:sz w:val="24"/>
                <w:lang w:bidi="ar"/>
              </w:rPr>
              <w:t>1</w:t>
            </w:r>
            <w:r>
              <w:rPr>
                <w:rFonts w:hint="eastAsia" w:cs="宋体"/>
                <w:kern w:val="0"/>
                <w:sz w:val="24"/>
                <w:lang w:bidi="ar"/>
              </w:rPr>
              <w:t>日~</w:t>
            </w:r>
            <w:r>
              <w:rPr>
                <w:rFonts w:hint="eastAsia"/>
                <w:kern w:val="0"/>
                <w:sz w:val="24"/>
                <w:lang w:bidi="ar"/>
              </w:rPr>
              <w:t>6</w:t>
            </w:r>
            <w:r>
              <w:rPr>
                <w:rFonts w:hint="eastAsia" w:cs="宋体"/>
                <w:kern w:val="0"/>
                <w:sz w:val="24"/>
                <w:lang w:bidi="ar"/>
              </w:rPr>
              <w:t>月</w:t>
            </w:r>
            <w:r>
              <w:rPr>
                <w:rFonts w:hint="eastAsia"/>
                <w:kern w:val="0"/>
                <w:sz w:val="24"/>
                <w:lang w:bidi="ar"/>
              </w:rPr>
              <w:t>3</w:t>
            </w:r>
            <w:r>
              <w:rPr>
                <w:rFonts w:hint="eastAsia" w:cs="宋体"/>
                <w:kern w:val="0"/>
                <w:sz w:val="24"/>
                <w:lang w:bidi="ar"/>
              </w:rPr>
              <w:t>日</w:t>
            </w:r>
            <w:r>
              <w:rPr>
                <w:rFonts w:hint="eastAsia" w:cs="宋体"/>
                <w:sz w:val="24"/>
                <w:lang w:bidi="ar"/>
              </w:rPr>
              <w:t>，连续监测</w:t>
            </w:r>
            <w:r>
              <w:rPr>
                <w:rFonts w:hint="eastAsia"/>
                <w:sz w:val="24"/>
                <w:lang w:bidi="ar"/>
              </w:rPr>
              <w:t>3</w:t>
            </w:r>
            <w:r>
              <w:rPr>
                <w:rFonts w:hint="eastAsia" w:cs="宋体"/>
                <w:sz w:val="24"/>
                <w:lang w:bidi="ar"/>
              </w:rPr>
              <w:t>天。具体监测结果见表</w:t>
            </w:r>
            <w:r>
              <w:rPr>
                <w:rFonts w:cs="宋体"/>
                <w:sz w:val="24"/>
                <w:lang w:bidi="ar"/>
              </w:rPr>
              <w:t>3-2</w:t>
            </w:r>
            <w:r>
              <w:rPr>
                <w:rFonts w:hint="eastAsia" w:cs="宋体"/>
                <w:sz w:val="24"/>
                <w:lang w:bidi="ar"/>
              </w:rPr>
              <w:t>，监测点位见附图。</w:t>
            </w:r>
          </w:p>
          <w:p>
            <w:pPr>
              <w:jc w:val="center"/>
              <w:rPr>
                <w:b/>
                <w:bCs/>
                <w:sz w:val="24"/>
              </w:rPr>
            </w:pPr>
            <w:r>
              <w:rPr>
                <w:b/>
                <w:bCs/>
                <w:sz w:val="24"/>
              </w:rPr>
              <w:t>表3-2  其他污染物监测结果统计</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527"/>
              <w:gridCol w:w="1560"/>
              <w:gridCol w:w="1414"/>
              <w:gridCol w:w="1056"/>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vMerge w:val="restart"/>
                  <w:vAlign w:val="center"/>
                </w:tcPr>
                <w:p>
                  <w:pPr>
                    <w:snapToGrid w:val="0"/>
                    <w:jc w:val="center"/>
                    <w:rPr>
                      <w:b/>
                      <w:bCs/>
                      <w:szCs w:val="21"/>
                    </w:rPr>
                  </w:pPr>
                  <w:r>
                    <w:rPr>
                      <w:b/>
                      <w:bCs/>
                      <w:szCs w:val="21"/>
                    </w:rPr>
                    <w:t>监测点位</w:t>
                  </w:r>
                </w:p>
              </w:tc>
              <w:tc>
                <w:tcPr>
                  <w:tcW w:w="911" w:type="pct"/>
                  <w:vMerge w:val="restart"/>
                  <w:vAlign w:val="center"/>
                </w:tcPr>
                <w:p>
                  <w:pPr>
                    <w:snapToGrid w:val="0"/>
                    <w:jc w:val="center"/>
                    <w:rPr>
                      <w:b/>
                      <w:bCs/>
                      <w:szCs w:val="21"/>
                    </w:rPr>
                  </w:pPr>
                  <w:r>
                    <w:rPr>
                      <w:b/>
                      <w:bCs/>
                      <w:szCs w:val="21"/>
                    </w:rPr>
                    <w:t>监测因子</w:t>
                  </w:r>
                </w:p>
              </w:tc>
              <w:tc>
                <w:tcPr>
                  <w:tcW w:w="1775" w:type="pct"/>
                  <w:gridSpan w:val="2"/>
                  <w:vAlign w:val="center"/>
                </w:tcPr>
                <w:p>
                  <w:pPr>
                    <w:snapToGrid w:val="0"/>
                    <w:jc w:val="center"/>
                    <w:rPr>
                      <w:b/>
                      <w:bCs/>
                      <w:szCs w:val="21"/>
                    </w:rPr>
                  </w:pPr>
                  <w:r>
                    <w:rPr>
                      <w:rFonts w:hint="eastAsia"/>
                      <w:b/>
                      <w:bCs/>
                      <w:szCs w:val="21"/>
                    </w:rPr>
                    <w:t>监测</w:t>
                  </w:r>
                  <w:r>
                    <w:rPr>
                      <w:b/>
                      <w:bCs/>
                      <w:szCs w:val="21"/>
                    </w:rPr>
                    <w:t>值(</w:t>
                  </w:r>
                  <w:r>
                    <w:rPr>
                      <w:b/>
                      <w:szCs w:val="21"/>
                    </w:rPr>
                    <w:t>µ</w:t>
                  </w:r>
                  <w:r>
                    <w:rPr>
                      <w:b/>
                      <w:bCs/>
                      <w:szCs w:val="21"/>
                    </w:rPr>
                    <w:t>g/m</w:t>
                  </w:r>
                  <w:r>
                    <w:rPr>
                      <w:b/>
                      <w:bCs/>
                      <w:szCs w:val="21"/>
                      <w:vertAlign w:val="superscript"/>
                    </w:rPr>
                    <w:t>3</w:t>
                  </w:r>
                  <w:r>
                    <w:rPr>
                      <w:b/>
                      <w:bCs/>
                      <w:szCs w:val="21"/>
                    </w:rPr>
                    <w:t>)</w:t>
                  </w:r>
                </w:p>
              </w:tc>
              <w:tc>
                <w:tcPr>
                  <w:tcW w:w="630" w:type="pct"/>
                  <w:vMerge w:val="restart"/>
                  <w:vAlign w:val="center"/>
                </w:tcPr>
                <w:p>
                  <w:pPr>
                    <w:snapToGrid w:val="0"/>
                    <w:jc w:val="center"/>
                    <w:rPr>
                      <w:b/>
                      <w:bCs/>
                      <w:szCs w:val="21"/>
                    </w:rPr>
                  </w:pPr>
                  <w:r>
                    <w:rPr>
                      <w:b/>
                      <w:bCs/>
                      <w:szCs w:val="21"/>
                    </w:rPr>
                    <w:t>超标率</w:t>
                  </w:r>
                </w:p>
              </w:tc>
              <w:tc>
                <w:tcPr>
                  <w:tcW w:w="717" w:type="pct"/>
                  <w:vMerge w:val="restart"/>
                  <w:vAlign w:val="center"/>
                </w:tcPr>
                <w:p>
                  <w:pPr>
                    <w:snapToGrid w:val="0"/>
                    <w:jc w:val="center"/>
                    <w:rPr>
                      <w:b/>
                      <w:bCs/>
                      <w:szCs w:val="21"/>
                    </w:rPr>
                  </w:pPr>
                  <w:r>
                    <w:rPr>
                      <w:rFonts w:hint="eastAsia"/>
                      <w:b/>
                      <w:bCs/>
                      <w:szCs w:val="21"/>
                    </w:rPr>
                    <w:t>最大</w:t>
                  </w:r>
                  <w:r>
                    <w:rPr>
                      <w:b/>
                      <w:bCs/>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vMerge w:val="continue"/>
                  <w:vAlign w:val="center"/>
                </w:tcPr>
                <w:p>
                  <w:pPr>
                    <w:snapToGrid w:val="0"/>
                    <w:jc w:val="center"/>
                    <w:rPr>
                      <w:szCs w:val="21"/>
                    </w:rPr>
                  </w:pPr>
                </w:p>
              </w:tc>
              <w:tc>
                <w:tcPr>
                  <w:tcW w:w="911" w:type="pct"/>
                  <w:vMerge w:val="continue"/>
                  <w:vAlign w:val="center"/>
                </w:tcPr>
                <w:p>
                  <w:pPr>
                    <w:snapToGrid w:val="0"/>
                    <w:jc w:val="center"/>
                    <w:rPr>
                      <w:szCs w:val="21"/>
                    </w:rPr>
                  </w:pPr>
                </w:p>
              </w:tc>
              <w:tc>
                <w:tcPr>
                  <w:tcW w:w="931" w:type="pct"/>
                  <w:vAlign w:val="center"/>
                </w:tcPr>
                <w:p>
                  <w:pPr>
                    <w:snapToGrid w:val="0"/>
                    <w:jc w:val="center"/>
                    <w:rPr>
                      <w:b/>
                      <w:bCs/>
                      <w:szCs w:val="21"/>
                    </w:rPr>
                  </w:pPr>
                  <w:r>
                    <w:rPr>
                      <w:b/>
                      <w:bCs/>
                      <w:szCs w:val="21"/>
                    </w:rPr>
                    <w:t>浓度范围</w:t>
                  </w:r>
                </w:p>
              </w:tc>
              <w:tc>
                <w:tcPr>
                  <w:tcW w:w="844" w:type="pct"/>
                  <w:vAlign w:val="center"/>
                </w:tcPr>
                <w:p>
                  <w:pPr>
                    <w:snapToGrid w:val="0"/>
                    <w:jc w:val="center"/>
                    <w:rPr>
                      <w:b/>
                      <w:bCs/>
                      <w:szCs w:val="21"/>
                    </w:rPr>
                  </w:pPr>
                  <w:r>
                    <w:rPr>
                      <w:b/>
                      <w:bCs/>
                      <w:szCs w:val="21"/>
                    </w:rPr>
                    <w:t>执行标准</w:t>
                  </w:r>
                </w:p>
              </w:tc>
              <w:tc>
                <w:tcPr>
                  <w:tcW w:w="630" w:type="pct"/>
                  <w:vMerge w:val="continue"/>
                  <w:vAlign w:val="center"/>
                </w:tcPr>
                <w:p>
                  <w:pPr>
                    <w:snapToGrid w:val="0"/>
                    <w:jc w:val="center"/>
                    <w:rPr>
                      <w:szCs w:val="21"/>
                    </w:rPr>
                  </w:pPr>
                </w:p>
              </w:tc>
              <w:tc>
                <w:tcPr>
                  <w:tcW w:w="717" w:type="pct"/>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65" w:type="pct"/>
                  <w:vMerge w:val="restart"/>
                  <w:vAlign w:val="center"/>
                </w:tcPr>
                <w:p>
                  <w:pPr>
                    <w:snapToGrid w:val="0"/>
                    <w:jc w:val="center"/>
                    <w:rPr>
                      <w:szCs w:val="21"/>
                    </w:rPr>
                  </w:pPr>
                  <w:r>
                    <w:rPr>
                      <w:rFonts w:hint="eastAsia"/>
                      <w:szCs w:val="21"/>
                    </w:rPr>
                    <w:t>项目地下风向</w:t>
                  </w:r>
                </w:p>
              </w:tc>
              <w:tc>
                <w:tcPr>
                  <w:tcW w:w="911" w:type="pct"/>
                  <w:vAlign w:val="center"/>
                </w:tcPr>
                <w:p>
                  <w:pPr>
                    <w:snapToGrid w:val="0"/>
                    <w:jc w:val="center"/>
                    <w:rPr>
                      <w:szCs w:val="21"/>
                    </w:rPr>
                  </w:pPr>
                  <w:r>
                    <w:rPr>
                      <w:rFonts w:hint="eastAsia"/>
                      <w:szCs w:val="21"/>
                    </w:rPr>
                    <w:t>氨</w:t>
                  </w:r>
                </w:p>
              </w:tc>
              <w:tc>
                <w:tcPr>
                  <w:tcW w:w="931" w:type="pct"/>
                  <w:vAlign w:val="center"/>
                </w:tcPr>
                <w:p>
                  <w:pPr>
                    <w:snapToGrid w:val="0"/>
                    <w:jc w:val="center"/>
                    <w:rPr>
                      <w:szCs w:val="21"/>
                    </w:rPr>
                  </w:pPr>
                  <w:r>
                    <w:rPr>
                      <w:rFonts w:hint="eastAsia"/>
                      <w:szCs w:val="21"/>
                    </w:rPr>
                    <w:t>0.10</w:t>
                  </w:r>
                  <w:r>
                    <w:rPr>
                      <w:szCs w:val="21"/>
                    </w:rPr>
                    <w:t>~</w:t>
                  </w:r>
                  <w:r>
                    <w:rPr>
                      <w:rFonts w:hint="eastAsia"/>
                      <w:szCs w:val="21"/>
                    </w:rPr>
                    <w:t>0.16</w:t>
                  </w:r>
                </w:p>
              </w:tc>
              <w:tc>
                <w:tcPr>
                  <w:tcW w:w="844" w:type="pct"/>
                  <w:vAlign w:val="center"/>
                </w:tcPr>
                <w:p>
                  <w:pPr>
                    <w:snapToGrid w:val="0"/>
                    <w:jc w:val="center"/>
                    <w:rPr>
                      <w:szCs w:val="21"/>
                    </w:rPr>
                  </w:pPr>
                  <w:r>
                    <w:rPr>
                      <w:rFonts w:hint="eastAsia"/>
                      <w:szCs w:val="21"/>
                    </w:rPr>
                    <w:t>0.2</w:t>
                  </w:r>
                </w:p>
              </w:tc>
              <w:tc>
                <w:tcPr>
                  <w:tcW w:w="630" w:type="pct"/>
                  <w:vAlign w:val="center"/>
                </w:tcPr>
                <w:p>
                  <w:pPr>
                    <w:snapToGrid w:val="0"/>
                    <w:jc w:val="center"/>
                    <w:rPr>
                      <w:szCs w:val="21"/>
                    </w:rPr>
                  </w:pPr>
                  <w:r>
                    <w:rPr>
                      <w:rFonts w:hint="eastAsia"/>
                      <w:szCs w:val="21"/>
                    </w:rPr>
                    <w:t>/</w:t>
                  </w:r>
                </w:p>
              </w:tc>
              <w:tc>
                <w:tcPr>
                  <w:tcW w:w="717" w:type="pct"/>
                  <w:vAlign w:val="center"/>
                </w:tcPr>
                <w:p>
                  <w:pPr>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65" w:type="pct"/>
                  <w:vMerge w:val="continue"/>
                  <w:vAlign w:val="center"/>
                </w:tcPr>
                <w:p>
                  <w:pPr>
                    <w:snapToGrid w:val="0"/>
                    <w:jc w:val="center"/>
                    <w:rPr>
                      <w:szCs w:val="21"/>
                    </w:rPr>
                  </w:pPr>
                </w:p>
              </w:tc>
              <w:tc>
                <w:tcPr>
                  <w:tcW w:w="911" w:type="pct"/>
                  <w:vAlign w:val="center"/>
                </w:tcPr>
                <w:p>
                  <w:pPr>
                    <w:snapToGrid w:val="0"/>
                    <w:jc w:val="center"/>
                    <w:rPr>
                      <w:szCs w:val="21"/>
                    </w:rPr>
                  </w:pPr>
                  <w:r>
                    <w:rPr>
                      <w:rFonts w:hint="eastAsia"/>
                      <w:szCs w:val="21"/>
                    </w:rPr>
                    <w:t>硫化氢</w:t>
                  </w:r>
                </w:p>
              </w:tc>
              <w:tc>
                <w:tcPr>
                  <w:tcW w:w="931" w:type="pct"/>
                  <w:vAlign w:val="center"/>
                </w:tcPr>
                <w:p>
                  <w:pPr>
                    <w:snapToGrid w:val="0"/>
                    <w:jc w:val="center"/>
                    <w:rPr>
                      <w:szCs w:val="21"/>
                    </w:rPr>
                  </w:pPr>
                  <w:r>
                    <w:rPr>
                      <w:rFonts w:hint="eastAsia"/>
                      <w:szCs w:val="21"/>
                    </w:rPr>
                    <w:t>0.005</w:t>
                  </w:r>
                  <w:r>
                    <w:rPr>
                      <w:szCs w:val="21"/>
                    </w:rPr>
                    <w:t>~</w:t>
                  </w:r>
                  <w:r>
                    <w:rPr>
                      <w:rFonts w:hint="eastAsia"/>
                      <w:szCs w:val="21"/>
                    </w:rPr>
                    <w:t>0.009</w:t>
                  </w:r>
                </w:p>
              </w:tc>
              <w:tc>
                <w:tcPr>
                  <w:tcW w:w="844" w:type="pct"/>
                  <w:vAlign w:val="center"/>
                </w:tcPr>
                <w:p>
                  <w:pPr>
                    <w:snapToGrid w:val="0"/>
                    <w:jc w:val="center"/>
                    <w:rPr>
                      <w:szCs w:val="21"/>
                    </w:rPr>
                  </w:pPr>
                  <w:r>
                    <w:rPr>
                      <w:rFonts w:hint="eastAsia"/>
                      <w:szCs w:val="21"/>
                    </w:rPr>
                    <w:t>0.01</w:t>
                  </w:r>
                </w:p>
              </w:tc>
              <w:tc>
                <w:tcPr>
                  <w:tcW w:w="630" w:type="pct"/>
                  <w:vAlign w:val="center"/>
                </w:tcPr>
                <w:p>
                  <w:pPr>
                    <w:snapToGrid w:val="0"/>
                    <w:jc w:val="center"/>
                    <w:rPr>
                      <w:szCs w:val="21"/>
                    </w:rPr>
                  </w:pPr>
                  <w:r>
                    <w:rPr>
                      <w:rFonts w:hint="eastAsia"/>
                      <w:szCs w:val="21"/>
                    </w:rPr>
                    <w:t>/</w:t>
                  </w:r>
                </w:p>
              </w:tc>
              <w:tc>
                <w:tcPr>
                  <w:tcW w:w="717" w:type="pct"/>
                  <w:vAlign w:val="center"/>
                </w:tcPr>
                <w:p>
                  <w:pPr>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65" w:type="pct"/>
                  <w:vMerge w:val="continue"/>
                  <w:vAlign w:val="center"/>
                </w:tcPr>
                <w:p>
                  <w:pPr>
                    <w:snapToGrid w:val="0"/>
                    <w:jc w:val="center"/>
                    <w:rPr>
                      <w:szCs w:val="21"/>
                    </w:rPr>
                  </w:pPr>
                </w:p>
              </w:tc>
              <w:tc>
                <w:tcPr>
                  <w:tcW w:w="911" w:type="pct"/>
                  <w:vAlign w:val="center"/>
                </w:tcPr>
                <w:p>
                  <w:pPr>
                    <w:snapToGrid w:val="0"/>
                    <w:jc w:val="center"/>
                    <w:rPr>
                      <w:szCs w:val="21"/>
                    </w:rPr>
                  </w:pPr>
                  <w:r>
                    <w:rPr>
                      <w:rFonts w:hint="eastAsia"/>
                      <w:szCs w:val="21"/>
                    </w:rPr>
                    <w:t>臭气浓度</w:t>
                  </w:r>
                </w:p>
              </w:tc>
              <w:tc>
                <w:tcPr>
                  <w:tcW w:w="931" w:type="pct"/>
                  <w:vAlign w:val="center"/>
                </w:tcPr>
                <w:p>
                  <w:pPr>
                    <w:snapToGrid w:val="0"/>
                    <w:jc w:val="center"/>
                    <w:rPr>
                      <w:szCs w:val="21"/>
                    </w:rPr>
                  </w:pPr>
                  <w:r>
                    <w:rPr>
                      <w:rFonts w:hint="eastAsia"/>
                      <w:szCs w:val="21"/>
                    </w:rPr>
                    <w:t>＜10</w:t>
                  </w:r>
                </w:p>
              </w:tc>
              <w:tc>
                <w:tcPr>
                  <w:tcW w:w="844" w:type="pct"/>
                  <w:vAlign w:val="center"/>
                </w:tcPr>
                <w:p>
                  <w:pPr>
                    <w:snapToGrid w:val="0"/>
                    <w:jc w:val="center"/>
                    <w:rPr>
                      <w:szCs w:val="21"/>
                    </w:rPr>
                  </w:pPr>
                  <w:r>
                    <w:rPr>
                      <w:rFonts w:hint="eastAsia" w:ascii="宋体" w:hAnsi="宋体"/>
                      <w:szCs w:val="21"/>
                    </w:rPr>
                    <w:t>≤</w:t>
                  </w:r>
                  <w:r>
                    <w:rPr>
                      <w:rFonts w:hint="eastAsia"/>
                      <w:szCs w:val="21"/>
                    </w:rPr>
                    <w:t>10</w:t>
                  </w:r>
                </w:p>
              </w:tc>
              <w:tc>
                <w:tcPr>
                  <w:tcW w:w="630" w:type="pct"/>
                  <w:vAlign w:val="center"/>
                </w:tcPr>
                <w:p>
                  <w:pPr>
                    <w:snapToGrid w:val="0"/>
                    <w:jc w:val="center"/>
                    <w:rPr>
                      <w:szCs w:val="21"/>
                    </w:rPr>
                  </w:pPr>
                  <w:r>
                    <w:rPr>
                      <w:rFonts w:hint="eastAsia"/>
                      <w:szCs w:val="21"/>
                    </w:rPr>
                    <w:t>/</w:t>
                  </w:r>
                </w:p>
              </w:tc>
              <w:tc>
                <w:tcPr>
                  <w:tcW w:w="717" w:type="pct"/>
                  <w:vAlign w:val="center"/>
                </w:tcPr>
                <w:p>
                  <w:pPr>
                    <w:snapToGrid w:val="0"/>
                    <w:jc w:val="center"/>
                    <w:rPr>
                      <w:szCs w:val="21"/>
                    </w:rPr>
                  </w:pPr>
                  <w:r>
                    <w:rPr>
                      <w:rFonts w:hint="eastAsia"/>
                      <w:szCs w:val="21"/>
                    </w:rPr>
                    <w:t>/</w:t>
                  </w:r>
                </w:p>
              </w:tc>
            </w:tr>
          </w:tbl>
          <w:p>
            <w:pPr>
              <w:tabs>
                <w:tab w:val="left" w:pos="4515"/>
              </w:tabs>
              <w:autoSpaceDE w:val="0"/>
              <w:autoSpaceDN w:val="0"/>
              <w:spacing w:line="360" w:lineRule="auto"/>
              <w:ind w:firstLine="480" w:firstLineChars="200"/>
              <w:rPr>
                <w:sz w:val="24"/>
                <w:szCs w:val="22"/>
              </w:rPr>
            </w:pPr>
            <w:r>
              <w:rPr>
                <w:sz w:val="24"/>
                <w:szCs w:val="22"/>
              </w:rPr>
              <w:t>由上表可知，区域</w:t>
            </w:r>
            <w:r>
              <w:rPr>
                <w:rFonts w:hint="eastAsia"/>
                <w:sz w:val="24"/>
                <w:szCs w:val="22"/>
              </w:rPr>
              <w:t>氨、硫化氢等监测因子</w:t>
            </w:r>
            <w:r>
              <w:rPr>
                <w:sz w:val="24"/>
                <w:szCs w:val="22"/>
              </w:rPr>
              <w:t>的浓度值</w:t>
            </w:r>
            <w:r>
              <w:rPr>
                <w:rFonts w:hint="eastAsia"/>
                <w:sz w:val="24"/>
                <w:szCs w:val="22"/>
              </w:rPr>
              <w:t>均</w:t>
            </w:r>
            <w:r>
              <w:rPr>
                <w:sz w:val="24"/>
                <w:szCs w:val="22"/>
              </w:rPr>
              <w:t>可满足《环境影响评价技术导则大气环境》（HJ2.2-2018）附录D表D.1中的污染物空气质量浓度参考限值</w:t>
            </w:r>
            <w:r>
              <w:rPr>
                <w:rFonts w:hint="eastAsia"/>
                <w:sz w:val="24"/>
                <w:szCs w:val="22"/>
              </w:rPr>
              <w:t>；臭气浓度参照</w:t>
            </w:r>
            <w:r>
              <w:rPr>
                <w:sz w:val="24"/>
                <w:szCs w:val="22"/>
              </w:rPr>
              <w:t>《医疗机构水污染物排放标准》（GB18466-2005）表3标准限值</w:t>
            </w:r>
            <w:r>
              <w:rPr>
                <w:rFonts w:hint="eastAsia"/>
                <w:sz w:val="24"/>
                <w:szCs w:val="22"/>
              </w:rPr>
              <w:t>要求可知，本项目区域臭气浓度满足标准限值要求。</w:t>
            </w:r>
          </w:p>
          <w:p>
            <w:pPr>
              <w:keepNext/>
              <w:keepLines/>
              <w:spacing w:line="360" w:lineRule="auto"/>
              <w:ind w:firstLine="480" w:firstLineChars="200"/>
              <w:outlineLvl w:val="2"/>
              <w:rPr>
                <w:sz w:val="24"/>
              </w:rPr>
            </w:pPr>
            <w:r>
              <w:rPr>
                <w:sz w:val="24"/>
              </w:rPr>
              <w:t>2、声环境</w:t>
            </w:r>
          </w:p>
          <w:p>
            <w:pPr>
              <w:tabs>
                <w:tab w:val="left" w:pos="6120"/>
              </w:tabs>
              <w:spacing w:line="360" w:lineRule="auto"/>
              <w:ind w:firstLine="480" w:firstLineChars="200"/>
              <w:rPr>
                <w:rFonts w:cs="宋体"/>
                <w:sz w:val="24"/>
                <w:lang w:bidi="ar"/>
              </w:rPr>
            </w:pPr>
            <w:bookmarkStart w:id="9" w:name="_Hlk72613459"/>
            <w:r>
              <w:rPr>
                <w:rFonts w:hint="eastAsia"/>
                <w:sz w:val="24"/>
              </w:rPr>
              <w:t>根据现场踏勘，项目厂界外</w:t>
            </w:r>
            <w:r>
              <w:rPr>
                <w:sz w:val="24"/>
              </w:rPr>
              <w:t>50米</w:t>
            </w:r>
            <w:r>
              <w:rPr>
                <w:rFonts w:hint="eastAsia"/>
                <w:sz w:val="24"/>
              </w:rPr>
              <w:t>范围内存在声环境保护目标，因此进行声环境质量现状监测</w:t>
            </w:r>
            <w:bookmarkEnd w:id="9"/>
            <w:r>
              <w:rPr>
                <w:rFonts w:hint="eastAsia" w:cs="宋体"/>
                <w:spacing w:val="6"/>
                <w:sz w:val="24"/>
                <w:lang w:bidi="ar"/>
              </w:rPr>
              <w:t>，委托</w:t>
            </w:r>
            <w:r>
              <w:rPr>
                <w:rFonts w:hint="eastAsia" w:cs="宋体"/>
                <w:sz w:val="24"/>
                <w:lang w:bidi="ar"/>
              </w:rPr>
              <w:t>陕西浦安环境检测技术有限公司对项目地附近4个敏感点进行噪声监测。</w:t>
            </w:r>
            <w:r>
              <w:rPr>
                <w:rFonts w:hint="eastAsia" w:cs="宋体"/>
                <w:kern w:val="0"/>
                <w:sz w:val="24"/>
                <w:lang w:bidi="ar"/>
              </w:rPr>
              <w:t>监测时间为</w:t>
            </w:r>
            <w:r>
              <w:rPr>
                <w:kern w:val="0"/>
                <w:sz w:val="24"/>
                <w:lang w:bidi="ar"/>
              </w:rPr>
              <w:t>202</w:t>
            </w:r>
            <w:r>
              <w:rPr>
                <w:rFonts w:hint="eastAsia"/>
                <w:kern w:val="0"/>
                <w:sz w:val="24"/>
                <w:lang w:bidi="ar"/>
              </w:rPr>
              <w:t>3</w:t>
            </w:r>
            <w:r>
              <w:rPr>
                <w:rFonts w:hint="eastAsia" w:cs="宋体"/>
                <w:kern w:val="0"/>
                <w:sz w:val="24"/>
                <w:lang w:bidi="ar"/>
              </w:rPr>
              <w:t>年</w:t>
            </w:r>
            <w:r>
              <w:rPr>
                <w:rFonts w:hint="eastAsia"/>
                <w:kern w:val="0"/>
                <w:sz w:val="24"/>
                <w:lang w:bidi="ar"/>
              </w:rPr>
              <w:t>6</w:t>
            </w:r>
            <w:r>
              <w:rPr>
                <w:rFonts w:hint="eastAsia" w:cs="宋体"/>
                <w:kern w:val="0"/>
                <w:sz w:val="24"/>
                <w:lang w:bidi="ar"/>
              </w:rPr>
              <w:t>月</w:t>
            </w:r>
            <w:r>
              <w:rPr>
                <w:rFonts w:hint="eastAsia"/>
                <w:kern w:val="0"/>
                <w:sz w:val="24"/>
                <w:lang w:bidi="ar"/>
              </w:rPr>
              <w:t>1</w:t>
            </w:r>
            <w:r>
              <w:rPr>
                <w:rFonts w:hint="eastAsia" w:cs="宋体"/>
                <w:kern w:val="0"/>
                <w:sz w:val="24"/>
                <w:lang w:bidi="ar"/>
              </w:rPr>
              <w:t>日</w:t>
            </w:r>
            <w:r>
              <w:rPr>
                <w:rFonts w:hint="eastAsia" w:cs="宋体"/>
                <w:sz w:val="24"/>
                <w:lang w:bidi="ar"/>
              </w:rPr>
              <w:t>，监测</w:t>
            </w:r>
            <w:r>
              <w:rPr>
                <w:sz w:val="24"/>
                <w:lang w:bidi="ar"/>
              </w:rPr>
              <w:t>1</w:t>
            </w:r>
            <w:r>
              <w:rPr>
                <w:rFonts w:hint="eastAsia" w:cs="宋体"/>
                <w:sz w:val="24"/>
                <w:lang w:bidi="ar"/>
              </w:rPr>
              <w:t>天。具体监测结果见表</w:t>
            </w:r>
            <w:r>
              <w:rPr>
                <w:rFonts w:cs="宋体"/>
                <w:sz w:val="24"/>
                <w:lang w:bidi="ar"/>
              </w:rPr>
              <w:t>3-3</w:t>
            </w:r>
            <w:r>
              <w:rPr>
                <w:rFonts w:hint="eastAsia" w:cs="宋体"/>
                <w:sz w:val="24"/>
                <w:lang w:bidi="ar"/>
              </w:rPr>
              <w:t xml:space="preserve">，监测点位见附图。 </w:t>
            </w:r>
          </w:p>
          <w:p>
            <w:pPr>
              <w:jc w:val="center"/>
              <w:rPr>
                <w:b/>
                <w:sz w:val="24"/>
              </w:rPr>
            </w:pPr>
            <w:r>
              <w:rPr>
                <w:rFonts w:hint="eastAsia" w:cs="宋体"/>
                <w:b/>
                <w:sz w:val="24"/>
                <w:lang w:bidi="ar"/>
              </w:rPr>
              <w:t>表</w:t>
            </w:r>
            <w:r>
              <w:rPr>
                <w:b/>
                <w:sz w:val="24"/>
                <w:lang w:bidi="ar"/>
              </w:rPr>
              <w:t xml:space="preserve">3-3   </w:t>
            </w:r>
            <w:r>
              <w:rPr>
                <w:rFonts w:hint="eastAsia" w:cs="宋体"/>
                <w:b/>
                <w:sz w:val="24"/>
                <w:lang w:bidi="ar"/>
              </w:rPr>
              <w:t>环境噪声监测结果统计表</w:t>
            </w:r>
            <w:r>
              <w:rPr>
                <w:b/>
                <w:sz w:val="24"/>
                <w:lang w:bidi="ar"/>
              </w:rPr>
              <w:t xml:space="preserve">    </w:t>
            </w:r>
            <w:r>
              <w:rPr>
                <w:rFonts w:hint="eastAsia" w:cs="宋体"/>
                <w:b/>
                <w:sz w:val="24"/>
                <w:lang w:bidi="ar"/>
              </w:rPr>
              <w:t>单位：</w:t>
            </w:r>
            <w:r>
              <w:rPr>
                <w:b/>
                <w:sz w:val="24"/>
                <w:lang w:bidi="ar"/>
              </w:rPr>
              <w:t>dB</w:t>
            </w:r>
            <w:r>
              <w:rPr>
                <w:rFonts w:hint="eastAsia" w:cs="宋体"/>
                <w:b/>
                <w:sz w:val="24"/>
                <w:lang w:bidi="ar"/>
              </w:rPr>
              <w:t>（</w:t>
            </w:r>
            <w:r>
              <w:rPr>
                <w:b/>
                <w:sz w:val="24"/>
                <w:lang w:bidi="ar"/>
              </w:rPr>
              <w:t>A</w:t>
            </w:r>
            <w:r>
              <w:rPr>
                <w:rFonts w:hint="eastAsia" w:cs="宋体"/>
                <w:b/>
                <w:sz w:val="24"/>
                <w:lang w:bidi="ar"/>
              </w:rPr>
              <w:t>）</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1367"/>
              <w:gridCol w:w="1369"/>
              <w:gridCol w:w="196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vMerge w:val="restart"/>
                  <w:tcMar>
                    <w:left w:w="28" w:type="dxa"/>
                    <w:right w:w="28" w:type="dxa"/>
                  </w:tcMar>
                  <w:vAlign w:val="center"/>
                </w:tcPr>
                <w:p>
                  <w:pPr>
                    <w:snapToGrid w:val="0"/>
                    <w:jc w:val="center"/>
                    <w:rPr>
                      <w:b/>
                      <w:bCs/>
                      <w:kern w:val="0"/>
                      <w:szCs w:val="21"/>
                    </w:rPr>
                  </w:pPr>
                  <w:r>
                    <w:rPr>
                      <w:rFonts w:hint="eastAsia" w:cs="宋体"/>
                      <w:b/>
                      <w:bCs/>
                      <w:kern w:val="0"/>
                      <w:szCs w:val="21"/>
                      <w:lang w:bidi="ar"/>
                    </w:rPr>
                    <w:t>监测点位</w:t>
                  </w:r>
                </w:p>
              </w:tc>
              <w:tc>
                <w:tcPr>
                  <w:tcW w:w="1633" w:type="pct"/>
                  <w:gridSpan w:val="2"/>
                  <w:tcMar>
                    <w:left w:w="28" w:type="dxa"/>
                    <w:right w:w="28" w:type="dxa"/>
                  </w:tcMar>
                  <w:vAlign w:val="center"/>
                </w:tcPr>
                <w:p>
                  <w:pPr>
                    <w:widowControl/>
                    <w:snapToGrid w:val="0"/>
                    <w:jc w:val="center"/>
                    <w:rPr>
                      <w:b/>
                      <w:bCs/>
                      <w:kern w:val="0"/>
                      <w:szCs w:val="21"/>
                    </w:rPr>
                  </w:pPr>
                  <w:r>
                    <w:rPr>
                      <w:rFonts w:hint="eastAsia" w:cs="宋体"/>
                      <w:b/>
                      <w:bCs/>
                      <w:kern w:val="0"/>
                      <w:szCs w:val="21"/>
                      <w:lang w:bidi="ar"/>
                    </w:rPr>
                    <w:t>监测结果</w:t>
                  </w:r>
                </w:p>
              </w:tc>
              <w:tc>
                <w:tcPr>
                  <w:tcW w:w="1174" w:type="pct"/>
                  <w:vMerge w:val="restart"/>
                  <w:tcMar>
                    <w:left w:w="28" w:type="dxa"/>
                    <w:right w:w="28" w:type="dxa"/>
                  </w:tcMar>
                  <w:vAlign w:val="center"/>
                </w:tcPr>
                <w:p>
                  <w:pPr>
                    <w:snapToGrid w:val="0"/>
                    <w:jc w:val="center"/>
                    <w:rPr>
                      <w:b/>
                      <w:bCs/>
                      <w:kern w:val="0"/>
                      <w:szCs w:val="21"/>
                    </w:rPr>
                  </w:pPr>
                  <w:r>
                    <w:rPr>
                      <w:rFonts w:hint="eastAsia" w:cs="宋体"/>
                      <w:b/>
                      <w:bCs/>
                      <w:kern w:val="0"/>
                      <w:szCs w:val="21"/>
                      <w:lang w:bidi="ar"/>
                    </w:rPr>
                    <w:t>标准值</w:t>
                  </w:r>
                </w:p>
              </w:tc>
              <w:tc>
                <w:tcPr>
                  <w:tcW w:w="924" w:type="pct"/>
                  <w:vMerge w:val="restart"/>
                  <w:tcMar>
                    <w:left w:w="28" w:type="dxa"/>
                    <w:right w:w="28" w:type="dxa"/>
                  </w:tcMar>
                  <w:vAlign w:val="center"/>
                </w:tcPr>
                <w:p>
                  <w:pPr>
                    <w:snapToGrid w:val="0"/>
                    <w:jc w:val="center"/>
                    <w:rPr>
                      <w:b/>
                      <w:bCs/>
                      <w:kern w:val="0"/>
                      <w:szCs w:val="21"/>
                    </w:rPr>
                  </w:pPr>
                  <w:r>
                    <w:rPr>
                      <w:rFonts w:hint="eastAsia" w:cs="宋体"/>
                      <w:b/>
                      <w:bCs/>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vMerge w:val="continue"/>
                  <w:tcMar>
                    <w:left w:w="28" w:type="dxa"/>
                    <w:right w:w="28" w:type="dxa"/>
                  </w:tcMar>
                  <w:vAlign w:val="center"/>
                </w:tcPr>
                <w:p>
                  <w:pPr>
                    <w:snapToGrid w:val="0"/>
                    <w:rPr>
                      <w:b/>
                      <w:bCs/>
                      <w:szCs w:val="21"/>
                    </w:rPr>
                  </w:pPr>
                </w:p>
              </w:tc>
              <w:tc>
                <w:tcPr>
                  <w:tcW w:w="816" w:type="pct"/>
                  <w:tcMar>
                    <w:left w:w="28" w:type="dxa"/>
                    <w:right w:w="28" w:type="dxa"/>
                  </w:tcMar>
                  <w:vAlign w:val="center"/>
                </w:tcPr>
                <w:p>
                  <w:pPr>
                    <w:widowControl/>
                    <w:snapToGrid w:val="0"/>
                    <w:jc w:val="center"/>
                    <w:rPr>
                      <w:b/>
                      <w:bCs/>
                      <w:kern w:val="0"/>
                      <w:szCs w:val="21"/>
                    </w:rPr>
                  </w:pPr>
                  <w:r>
                    <w:rPr>
                      <w:rFonts w:hint="eastAsia" w:cs="宋体"/>
                      <w:b/>
                      <w:bCs/>
                      <w:kern w:val="0"/>
                      <w:szCs w:val="21"/>
                      <w:lang w:bidi="ar"/>
                    </w:rPr>
                    <w:t>昼间</w:t>
                  </w:r>
                </w:p>
              </w:tc>
              <w:tc>
                <w:tcPr>
                  <w:tcW w:w="817" w:type="pct"/>
                  <w:tcMar>
                    <w:left w:w="28" w:type="dxa"/>
                    <w:right w:w="28" w:type="dxa"/>
                  </w:tcMar>
                  <w:vAlign w:val="center"/>
                </w:tcPr>
                <w:p>
                  <w:pPr>
                    <w:widowControl/>
                    <w:snapToGrid w:val="0"/>
                    <w:jc w:val="center"/>
                    <w:rPr>
                      <w:b/>
                      <w:bCs/>
                      <w:kern w:val="0"/>
                      <w:szCs w:val="21"/>
                    </w:rPr>
                  </w:pPr>
                  <w:r>
                    <w:rPr>
                      <w:rFonts w:hint="eastAsia" w:cs="宋体"/>
                      <w:b/>
                      <w:bCs/>
                      <w:kern w:val="0"/>
                      <w:szCs w:val="21"/>
                      <w:lang w:bidi="ar"/>
                    </w:rPr>
                    <w:t>夜间</w:t>
                  </w:r>
                </w:p>
              </w:tc>
              <w:tc>
                <w:tcPr>
                  <w:tcW w:w="1174" w:type="pct"/>
                  <w:vMerge w:val="continue"/>
                  <w:tcMar>
                    <w:left w:w="28" w:type="dxa"/>
                    <w:right w:w="28" w:type="dxa"/>
                  </w:tcMar>
                  <w:vAlign w:val="center"/>
                </w:tcPr>
                <w:p>
                  <w:pPr>
                    <w:snapToGrid w:val="0"/>
                    <w:rPr>
                      <w:szCs w:val="21"/>
                    </w:rPr>
                  </w:pPr>
                </w:p>
              </w:tc>
              <w:tc>
                <w:tcPr>
                  <w:tcW w:w="924" w:type="pct"/>
                  <w:vMerge w:val="continue"/>
                  <w:tcMar>
                    <w:left w:w="28" w:type="dxa"/>
                    <w:right w:w="28" w:type="dxa"/>
                  </w:tcMar>
                  <w:vAlign w:val="center"/>
                </w:tcPr>
                <w:p>
                  <w:pPr>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tcMar>
                    <w:left w:w="28" w:type="dxa"/>
                    <w:right w:w="28" w:type="dxa"/>
                  </w:tcMar>
                  <w:vAlign w:val="center"/>
                </w:tcPr>
                <w:p>
                  <w:pPr>
                    <w:widowControl/>
                    <w:snapToGrid w:val="0"/>
                    <w:jc w:val="center"/>
                    <w:rPr>
                      <w:szCs w:val="21"/>
                    </w:rPr>
                  </w:pPr>
                  <w:r>
                    <w:rPr>
                      <w:rFonts w:hint="eastAsia"/>
                      <w:szCs w:val="21"/>
                    </w:rPr>
                    <w:t>水浇湾村居民点1</w:t>
                  </w:r>
                </w:p>
              </w:tc>
              <w:tc>
                <w:tcPr>
                  <w:tcW w:w="816" w:type="pct"/>
                  <w:tcMar>
                    <w:left w:w="28" w:type="dxa"/>
                    <w:right w:w="28" w:type="dxa"/>
                  </w:tcMar>
                  <w:vAlign w:val="center"/>
                </w:tcPr>
                <w:p>
                  <w:pPr>
                    <w:widowControl/>
                    <w:snapToGrid w:val="0"/>
                    <w:jc w:val="center"/>
                    <w:rPr>
                      <w:kern w:val="0"/>
                      <w:szCs w:val="21"/>
                    </w:rPr>
                  </w:pPr>
                  <w:r>
                    <w:rPr>
                      <w:rFonts w:hint="eastAsia"/>
                      <w:kern w:val="0"/>
                      <w:szCs w:val="21"/>
                    </w:rPr>
                    <w:t>50</w:t>
                  </w:r>
                </w:p>
              </w:tc>
              <w:tc>
                <w:tcPr>
                  <w:tcW w:w="817" w:type="pct"/>
                  <w:tcMar>
                    <w:left w:w="28" w:type="dxa"/>
                    <w:right w:w="28" w:type="dxa"/>
                  </w:tcMar>
                  <w:vAlign w:val="center"/>
                </w:tcPr>
                <w:p>
                  <w:pPr>
                    <w:widowControl/>
                    <w:snapToGrid w:val="0"/>
                    <w:jc w:val="center"/>
                    <w:rPr>
                      <w:kern w:val="0"/>
                      <w:szCs w:val="21"/>
                    </w:rPr>
                  </w:pPr>
                  <w:r>
                    <w:rPr>
                      <w:rFonts w:hint="eastAsia"/>
                      <w:kern w:val="0"/>
                      <w:szCs w:val="21"/>
                    </w:rPr>
                    <w:t>40</w:t>
                  </w:r>
                </w:p>
              </w:tc>
              <w:tc>
                <w:tcPr>
                  <w:tcW w:w="1174" w:type="pct"/>
                  <w:vMerge w:val="restart"/>
                  <w:tcMar>
                    <w:left w:w="28" w:type="dxa"/>
                    <w:right w:w="28" w:type="dxa"/>
                  </w:tcMar>
                  <w:vAlign w:val="center"/>
                </w:tcPr>
                <w:p>
                  <w:pPr>
                    <w:snapToGrid w:val="0"/>
                    <w:jc w:val="center"/>
                    <w:rPr>
                      <w:rFonts w:cs="宋体"/>
                      <w:kern w:val="0"/>
                      <w:szCs w:val="21"/>
                      <w:lang w:bidi="ar"/>
                    </w:rPr>
                  </w:pPr>
                  <w:r>
                    <w:rPr>
                      <w:rFonts w:hint="eastAsia" w:cs="宋体"/>
                      <w:kern w:val="0"/>
                      <w:szCs w:val="21"/>
                      <w:lang w:bidi="ar"/>
                    </w:rPr>
                    <w:t>昼：</w:t>
                  </w:r>
                  <w:r>
                    <w:rPr>
                      <w:kern w:val="0"/>
                      <w:szCs w:val="21"/>
                      <w:lang w:bidi="ar"/>
                    </w:rPr>
                    <w:t>60</w:t>
                  </w:r>
                  <w:r>
                    <w:rPr>
                      <w:rFonts w:hint="eastAsia" w:cs="宋体"/>
                      <w:kern w:val="0"/>
                      <w:szCs w:val="21"/>
                      <w:lang w:bidi="ar"/>
                    </w:rPr>
                    <w:t>，夜：</w:t>
                  </w:r>
                  <w:r>
                    <w:rPr>
                      <w:kern w:val="0"/>
                      <w:szCs w:val="21"/>
                      <w:lang w:bidi="ar"/>
                    </w:rPr>
                    <w:t>50</w:t>
                  </w:r>
                </w:p>
              </w:tc>
              <w:tc>
                <w:tcPr>
                  <w:tcW w:w="924" w:type="pct"/>
                  <w:tcMar>
                    <w:left w:w="28" w:type="dxa"/>
                    <w:right w:w="28" w:type="dxa"/>
                  </w:tcMar>
                  <w:vAlign w:val="center"/>
                </w:tcPr>
                <w:p>
                  <w:pPr>
                    <w:widowControl/>
                    <w:snapToGrid w:val="0"/>
                    <w:jc w:val="center"/>
                    <w:rPr>
                      <w:rFonts w:cs="宋体"/>
                      <w:kern w:val="0"/>
                      <w:szCs w:val="21"/>
                      <w:lang w:bidi="ar"/>
                    </w:rPr>
                  </w:pPr>
                  <w:r>
                    <w:rPr>
                      <w:rFonts w:hint="eastAsia" w:cs="宋体"/>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tcMar>
                    <w:left w:w="28" w:type="dxa"/>
                    <w:right w:w="28" w:type="dxa"/>
                  </w:tcMar>
                  <w:vAlign w:val="center"/>
                </w:tcPr>
                <w:p>
                  <w:pPr>
                    <w:widowControl/>
                    <w:snapToGrid w:val="0"/>
                    <w:jc w:val="center"/>
                    <w:rPr>
                      <w:szCs w:val="21"/>
                    </w:rPr>
                  </w:pPr>
                  <w:r>
                    <w:rPr>
                      <w:rFonts w:hint="eastAsia"/>
                      <w:szCs w:val="21"/>
                    </w:rPr>
                    <w:t>水浇湾村居民点</w:t>
                  </w:r>
                  <w:r>
                    <w:rPr>
                      <w:szCs w:val="21"/>
                    </w:rPr>
                    <w:t>2</w:t>
                  </w:r>
                </w:p>
              </w:tc>
              <w:tc>
                <w:tcPr>
                  <w:tcW w:w="816" w:type="pct"/>
                  <w:tcMar>
                    <w:left w:w="28" w:type="dxa"/>
                    <w:right w:w="28" w:type="dxa"/>
                  </w:tcMar>
                  <w:vAlign w:val="center"/>
                </w:tcPr>
                <w:p>
                  <w:pPr>
                    <w:widowControl/>
                    <w:snapToGrid w:val="0"/>
                    <w:jc w:val="center"/>
                    <w:rPr>
                      <w:kern w:val="0"/>
                      <w:szCs w:val="21"/>
                    </w:rPr>
                  </w:pPr>
                  <w:r>
                    <w:rPr>
                      <w:rFonts w:hint="eastAsia"/>
                      <w:kern w:val="0"/>
                      <w:szCs w:val="21"/>
                    </w:rPr>
                    <w:t>51</w:t>
                  </w:r>
                </w:p>
              </w:tc>
              <w:tc>
                <w:tcPr>
                  <w:tcW w:w="817" w:type="pct"/>
                  <w:tcMar>
                    <w:left w:w="28" w:type="dxa"/>
                    <w:right w:w="28" w:type="dxa"/>
                  </w:tcMar>
                  <w:vAlign w:val="center"/>
                </w:tcPr>
                <w:p>
                  <w:pPr>
                    <w:widowControl/>
                    <w:snapToGrid w:val="0"/>
                    <w:jc w:val="center"/>
                    <w:rPr>
                      <w:kern w:val="0"/>
                      <w:szCs w:val="21"/>
                    </w:rPr>
                  </w:pPr>
                  <w:r>
                    <w:rPr>
                      <w:rFonts w:hint="eastAsia"/>
                      <w:kern w:val="0"/>
                      <w:szCs w:val="21"/>
                    </w:rPr>
                    <w:t>39</w:t>
                  </w:r>
                </w:p>
              </w:tc>
              <w:tc>
                <w:tcPr>
                  <w:tcW w:w="1174" w:type="pct"/>
                  <w:vMerge w:val="continue"/>
                  <w:tcMar>
                    <w:left w:w="28" w:type="dxa"/>
                    <w:right w:w="28" w:type="dxa"/>
                  </w:tcMar>
                  <w:vAlign w:val="center"/>
                </w:tcPr>
                <w:p>
                  <w:pPr>
                    <w:snapToGrid w:val="0"/>
                    <w:jc w:val="center"/>
                    <w:rPr>
                      <w:rFonts w:cs="宋体"/>
                      <w:kern w:val="0"/>
                      <w:szCs w:val="21"/>
                      <w:lang w:bidi="ar"/>
                    </w:rPr>
                  </w:pPr>
                </w:p>
              </w:tc>
              <w:tc>
                <w:tcPr>
                  <w:tcW w:w="924" w:type="pct"/>
                  <w:tcMar>
                    <w:left w:w="28" w:type="dxa"/>
                    <w:right w:w="28" w:type="dxa"/>
                  </w:tcMar>
                  <w:vAlign w:val="center"/>
                </w:tcPr>
                <w:p>
                  <w:pPr>
                    <w:widowControl/>
                    <w:snapToGrid w:val="0"/>
                    <w:jc w:val="center"/>
                    <w:rPr>
                      <w:rFonts w:cs="宋体"/>
                      <w:kern w:val="0"/>
                      <w:szCs w:val="21"/>
                      <w:lang w:bidi="ar"/>
                    </w:rPr>
                  </w:pPr>
                  <w:r>
                    <w:rPr>
                      <w:rFonts w:hint="eastAsia" w:cs="宋体"/>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tcMar>
                    <w:left w:w="28" w:type="dxa"/>
                    <w:right w:w="28" w:type="dxa"/>
                  </w:tcMar>
                  <w:vAlign w:val="center"/>
                </w:tcPr>
                <w:p>
                  <w:pPr>
                    <w:widowControl/>
                    <w:snapToGrid w:val="0"/>
                    <w:jc w:val="center"/>
                    <w:rPr>
                      <w:szCs w:val="21"/>
                    </w:rPr>
                  </w:pPr>
                  <w:r>
                    <w:rPr>
                      <w:rFonts w:hint="eastAsia"/>
                      <w:szCs w:val="21"/>
                    </w:rPr>
                    <w:t>水浇湾村居民点3</w:t>
                  </w:r>
                </w:p>
              </w:tc>
              <w:tc>
                <w:tcPr>
                  <w:tcW w:w="816" w:type="pct"/>
                  <w:tcMar>
                    <w:left w:w="28" w:type="dxa"/>
                    <w:right w:w="28" w:type="dxa"/>
                  </w:tcMar>
                  <w:vAlign w:val="center"/>
                </w:tcPr>
                <w:p>
                  <w:pPr>
                    <w:widowControl/>
                    <w:snapToGrid w:val="0"/>
                    <w:jc w:val="center"/>
                    <w:rPr>
                      <w:kern w:val="0"/>
                      <w:szCs w:val="21"/>
                    </w:rPr>
                  </w:pPr>
                  <w:r>
                    <w:rPr>
                      <w:rFonts w:hint="eastAsia"/>
                      <w:kern w:val="0"/>
                      <w:szCs w:val="21"/>
                    </w:rPr>
                    <w:t>50</w:t>
                  </w:r>
                </w:p>
              </w:tc>
              <w:tc>
                <w:tcPr>
                  <w:tcW w:w="817" w:type="pct"/>
                  <w:tcMar>
                    <w:left w:w="28" w:type="dxa"/>
                    <w:right w:w="28" w:type="dxa"/>
                  </w:tcMar>
                  <w:vAlign w:val="center"/>
                </w:tcPr>
                <w:p>
                  <w:pPr>
                    <w:widowControl/>
                    <w:snapToGrid w:val="0"/>
                    <w:jc w:val="center"/>
                    <w:rPr>
                      <w:kern w:val="0"/>
                      <w:szCs w:val="21"/>
                    </w:rPr>
                  </w:pPr>
                  <w:r>
                    <w:rPr>
                      <w:rFonts w:hint="eastAsia"/>
                      <w:kern w:val="0"/>
                      <w:szCs w:val="21"/>
                    </w:rPr>
                    <w:t>40</w:t>
                  </w:r>
                </w:p>
              </w:tc>
              <w:tc>
                <w:tcPr>
                  <w:tcW w:w="1174" w:type="pct"/>
                  <w:vMerge w:val="continue"/>
                  <w:tcMar>
                    <w:left w:w="28" w:type="dxa"/>
                    <w:right w:w="28" w:type="dxa"/>
                  </w:tcMar>
                  <w:vAlign w:val="center"/>
                </w:tcPr>
                <w:p>
                  <w:pPr>
                    <w:snapToGrid w:val="0"/>
                    <w:jc w:val="center"/>
                    <w:rPr>
                      <w:rFonts w:cs="宋体"/>
                      <w:kern w:val="0"/>
                      <w:szCs w:val="21"/>
                      <w:lang w:bidi="ar"/>
                    </w:rPr>
                  </w:pPr>
                </w:p>
              </w:tc>
              <w:tc>
                <w:tcPr>
                  <w:tcW w:w="924" w:type="pct"/>
                  <w:tcMar>
                    <w:left w:w="28" w:type="dxa"/>
                    <w:right w:w="28" w:type="dxa"/>
                  </w:tcMar>
                  <w:vAlign w:val="center"/>
                </w:tcPr>
                <w:p>
                  <w:pPr>
                    <w:widowControl/>
                    <w:snapToGrid w:val="0"/>
                    <w:jc w:val="center"/>
                    <w:rPr>
                      <w:rFonts w:cs="宋体"/>
                      <w:kern w:val="0"/>
                      <w:szCs w:val="21"/>
                      <w:lang w:bidi="ar"/>
                    </w:rPr>
                  </w:pPr>
                  <w:r>
                    <w:rPr>
                      <w:rFonts w:hint="eastAsia" w:cs="宋体"/>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pct"/>
                  <w:tcMar>
                    <w:left w:w="28" w:type="dxa"/>
                    <w:right w:w="28" w:type="dxa"/>
                  </w:tcMar>
                  <w:vAlign w:val="center"/>
                </w:tcPr>
                <w:p>
                  <w:pPr>
                    <w:widowControl/>
                    <w:snapToGrid w:val="0"/>
                    <w:jc w:val="center"/>
                    <w:rPr>
                      <w:kern w:val="0"/>
                      <w:szCs w:val="21"/>
                      <w:highlight w:val="yellow"/>
                    </w:rPr>
                  </w:pPr>
                  <w:r>
                    <w:rPr>
                      <w:rFonts w:hint="eastAsia"/>
                      <w:szCs w:val="21"/>
                    </w:rPr>
                    <w:t>水浇湾村居民点</w:t>
                  </w:r>
                  <w:r>
                    <w:rPr>
                      <w:szCs w:val="21"/>
                    </w:rPr>
                    <w:t>4</w:t>
                  </w:r>
                </w:p>
              </w:tc>
              <w:tc>
                <w:tcPr>
                  <w:tcW w:w="816" w:type="pct"/>
                  <w:tcMar>
                    <w:left w:w="28" w:type="dxa"/>
                    <w:right w:w="28" w:type="dxa"/>
                  </w:tcMar>
                  <w:vAlign w:val="center"/>
                </w:tcPr>
                <w:p>
                  <w:pPr>
                    <w:widowControl/>
                    <w:snapToGrid w:val="0"/>
                    <w:jc w:val="center"/>
                    <w:rPr>
                      <w:kern w:val="0"/>
                      <w:szCs w:val="21"/>
                    </w:rPr>
                  </w:pPr>
                  <w:r>
                    <w:rPr>
                      <w:rFonts w:hint="eastAsia"/>
                      <w:kern w:val="0"/>
                      <w:szCs w:val="21"/>
                    </w:rPr>
                    <w:t>53</w:t>
                  </w:r>
                </w:p>
              </w:tc>
              <w:tc>
                <w:tcPr>
                  <w:tcW w:w="817" w:type="pct"/>
                  <w:tcMar>
                    <w:left w:w="28" w:type="dxa"/>
                    <w:right w:w="28" w:type="dxa"/>
                  </w:tcMar>
                  <w:vAlign w:val="center"/>
                </w:tcPr>
                <w:p>
                  <w:pPr>
                    <w:widowControl/>
                    <w:snapToGrid w:val="0"/>
                    <w:jc w:val="center"/>
                    <w:rPr>
                      <w:kern w:val="0"/>
                      <w:szCs w:val="21"/>
                    </w:rPr>
                  </w:pPr>
                  <w:r>
                    <w:rPr>
                      <w:rFonts w:hint="eastAsia"/>
                      <w:kern w:val="0"/>
                      <w:szCs w:val="21"/>
                    </w:rPr>
                    <w:t>40</w:t>
                  </w:r>
                </w:p>
              </w:tc>
              <w:tc>
                <w:tcPr>
                  <w:tcW w:w="1174" w:type="pct"/>
                  <w:vMerge w:val="continue"/>
                  <w:tcMar>
                    <w:left w:w="28" w:type="dxa"/>
                    <w:right w:w="28" w:type="dxa"/>
                  </w:tcMar>
                  <w:vAlign w:val="center"/>
                </w:tcPr>
                <w:p>
                  <w:pPr>
                    <w:snapToGrid w:val="0"/>
                    <w:jc w:val="center"/>
                    <w:rPr>
                      <w:kern w:val="0"/>
                      <w:szCs w:val="21"/>
                    </w:rPr>
                  </w:pPr>
                </w:p>
              </w:tc>
              <w:tc>
                <w:tcPr>
                  <w:tcW w:w="924" w:type="pct"/>
                  <w:tcMar>
                    <w:left w:w="28" w:type="dxa"/>
                    <w:right w:w="28" w:type="dxa"/>
                  </w:tcMar>
                  <w:vAlign w:val="center"/>
                </w:tcPr>
                <w:p>
                  <w:pPr>
                    <w:widowControl/>
                    <w:snapToGrid w:val="0"/>
                    <w:jc w:val="center"/>
                    <w:rPr>
                      <w:kern w:val="0"/>
                      <w:szCs w:val="21"/>
                    </w:rPr>
                  </w:pPr>
                  <w:r>
                    <w:rPr>
                      <w:rFonts w:hint="eastAsia" w:cs="宋体"/>
                      <w:kern w:val="0"/>
                      <w:szCs w:val="21"/>
                      <w:lang w:bidi="ar"/>
                    </w:rPr>
                    <w:t>达标</w:t>
                  </w:r>
                </w:p>
              </w:tc>
            </w:tr>
          </w:tbl>
          <w:p>
            <w:pPr>
              <w:widowControl/>
              <w:spacing w:line="360" w:lineRule="auto"/>
              <w:ind w:firstLine="480" w:firstLineChars="200"/>
            </w:pPr>
            <w:r>
              <w:rPr>
                <w:rFonts w:hint="eastAsia"/>
                <w:sz w:val="24"/>
                <w:lang w:bidi="ar"/>
              </w:rPr>
              <w:t>监测结果表明：敏感点处环境现状能满足《声环境质量标准》（</w:t>
            </w:r>
            <w:r>
              <w:rPr>
                <w:sz w:val="24"/>
                <w:lang w:bidi="ar"/>
              </w:rPr>
              <w:t>GB3096-2008</w:t>
            </w:r>
            <w:r>
              <w:rPr>
                <w:rFonts w:hint="eastAsia"/>
                <w:sz w:val="24"/>
                <w:lang w:bidi="ar"/>
              </w:rPr>
              <w:t>）</w:t>
            </w:r>
            <w:r>
              <w:rPr>
                <w:sz w:val="24"/>
                <w:lang w:bidi="ar"/>
              </w:rPr>
              <w:t>2</w:t>
            </w:r>
            <w:r>
              <w:rPr>
                <w:rFonts w:hint="eastAsia"/>
                <w:sz w:val="24"/>
                <w:lang w:bidi="ar"/>
              </w:rPr>
              <w:t>类标准限值</w:t>
            </w:r>
            <w:r>
              <w:rPr>
                <w:rFonts w:hint="eastAsia"/>
                <w:sz w:val="24"/>
                <w:szCs w:val="20"/>
                <w:lang w:bidi="ar"/>
              </w:rPr>
              <w:t>。</w:t>
            </w:r>
          </w:p>
          <w:p>
            <w:pPr>
              <w:keepNext/>
              <w:keepLines/>
              <w:spacing w:line="360" w:lineRule="auto"/>
              <w:ind w:firstLine="480" w:firstLineChars="200"/>
              <w:outlineLvl w:val="2"/>
              <w:rPr>
                <w:sz w:val="24"/>
              </w:rPr>
            </w:pPr>
            <w:r>
              <w:rPr>
                <w:rFonts w:hint="eastAsia"/>
                <w:sz w:val="24"/>
              </w:rPr>
              <w:t>3、</w:t>
            </w:r>
            <w:r>
              <w:rPr>
                <w:sz w:val="24"/>
              </w:rPr>
              <w:t>生态环境</w:t>
            </w:r>
          </w:p>
          <w:p>
            <w:pPr>
              <w:spacing w:line="360" w:lineRule="auto"/>
              <w:ind w:firstLine="482"/>
              <w:rPr>
                <w:sz w:val="24"/>
              </w:rPr>
            </w:pPr>
            <w:bookmarkStart w:id="10" w:name="_Hlk72613476"/>
            <w:r>
              <w:rPr>
                <w:sz w:val="24"/>
              </w:rPr>
              <w:t>经调查项目区范围内不存在生态环境保护目标，无需进行生态现状调查。</w:t>
            </w:r>
          </w:p>
          <w:bookmarkEnd w:id="10"/>
          <w:p>
            <w:pPr>
              <w:spacing w:line="360" w:lineRule="auto"/>
              <w:ind w:firstLine="482"/>
              <w:rPr>
                <w:sz w:val="24"/>
              </w:rPr>
            </w:pPr>
            <w:r>
              <w:rPr>
                <w:rFonts w:hint="eastAsia"/>
                <w:sz w:val="24"/>
              </w:rPr>
              <w:t>4、电磁辐射</w:t>
            </w:r>
          </w:p>
          <w:p>
            <w:pPr>
              <w:spacing w:line="360" w:lineRule="auto"/>
              <w:ind w:firstLine="482"/>
              <w:rPr>
                <w:sz w:val="24"/>
              </w:rPr>
            </w:pPr>
            <w:r>
              <w:rPr>
                <w:rFonts w:hint="eastAsia"/>
                <w:sz w:val="24"/>
              </w:rPr>
              <w:t>本次环评不涉及电离辐射，如新增相关设备建设单位拟另行环评。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56" w:type="dxa"/>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kern w:val="0"/>
                <w:sz w:val="24"/>
              </w:rPr>
            </w:pPr>
            <w:r>
              <w:rPr>
                <w:kern w:val="0"/>
                <w:sz w:val="24"/>
              </w:rPr>
              <w:t>目标</w:t>
            </w:r>
          </w:p>
        </w:tc>
        <w:tc>
          <w:tcPr>
            <w:tcW w:w="8605" w:type="dxa"/>
            <w:vAlign w:val="center"/>
          </w:tcPr>
          <w:p>
            <w:pPr>
              <w:widowControl/>
              <w:spacing w:line="360" w:lineRule="auto"/>
              <w:ind w:firstLine="480" w:firstLineChars="200"/>
              <w:contextualSpacing/>
              <w:rPr>
                <w:bCs/>
                <w:sz w:val="24"/>
              </w:rPr>
            </w:pPr>
            <w:r>
              <w:rPr>
                <w:bCs/>
                <w:sz w:val="24"/>
              </w:rPr>
              <w:t>根据本项目的排污特点和周围的环境特征，</w:t>
            </w:r>
            <w:r>
              <w:rPr>
                <w:rFonts w:hint="eastAsia"/>
                <w:bCs/>
                <w:sz w:val="24"/>
              </w:rPr>
              <w:t>项目厂界外</w:t>
            </w:r>
            <w:r>
              <w:rPr>
                <w:bCs/>
                <w:sz w:val="24"/>
              </w:rPr>
              <w:t>500</w:t>
            </w:r>
            <w:r>
              <w:rPr>
                <w:rFonts w:hint="eastAsia"/>
                <w:bCs/>
                <w:sz w:val="24"/>
              </w:rPr>
              <w:t>米范围内不存在地下水集中式饮用水水源和热水、矿泉水、温泉等特殊地下水资源，不存在地下水保护目标；项目占地范围内不涉及生态环境保护目标。因此</w:t>
            </w:r>
            <w:r>
              <w:rPr>
                <w:bCs/>
                <w:sz w:val="24"/>
              </w:rPr>
              <w:t>确定本次评价控制污染的主要内容与环境保护目标见表3-4。</w:t>
            </w:r>
          </w:p>
          <w:p>
            <w:pPr>
              <w:adjustRightInd w:val="0"/>
              <w:snapToGrid w:val="0"/>
              <w:jc w:val="center"/>
              <w:rPr>
                <w:b/>
                <w:bCs/>
                <w:sz w:val="24"/>
              </w:rPr>
            </w:pPr>
            <w:r>
              <w:rPr>
                <w:b/>
                <w:bCs/>
                <w:sz w:val="24"/>
              </w:rPr>
              <w:t>表3-4    主要环境保护目标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15"/>
              <w:gridCol w:w="1275"/>
              <w:gridCol w:w="1338"/>
              <w:gridCol w:w="647"/>
              <w:gridCol w:w="959"/>
              <w:gridCol w:w="850"/>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restart"/>
                  <w:vAlign w:val="center"/>
                </w:tcPr>
                <w:p>
                  <w:pPr>
                    <w:pStyle w:val="38"/>
                    <w:snapToGrid w:val="0"/>
                    <w:spacing w:after="0"/>
                    <w:ind w:left="0" w:leftChars="0" w:firstLine="0" w:firstLineChars="0"/>
                    <w:jc w:val="center"/>
                    <w:rPr>
                      <w:b/>
                      <w:bCs/>
                      <w:sz w:val="21"/>
                      <w:szCs w:val="21"/>
                    </w:rPr>
                  </w:pPr>
                  <w:r>
                    <w:rPr>
                      <w:b/>
                      <w:bCs/>
                      <w:sz w:val="21"/>
                      <w:szCs w:val="21"/>
                    </w:rPr>
                    <w:t>环境要素</w:t>
                  </w:r>
                </w:p>
              </w:tc>
              <w:tc>
                <w:tcPr>
                  <w:tcW w:w="2790" w:type="dxa"/>
                  <w:gridSpan w:val="2"/>
                  <w:vAlign w:val="center"/>
                </w:tcPr>
                <w:p>
                  <w:pPr>
                    <w:pStyle w:val="38"/>
                    <w:snapToGrid w:val="0"/>
                    <w:spacing w:after="0"/>
                    <w:ind w:left="0" w:leftChars="0" w:firstLine="0" w:firstLineChars="0"/>
                    <w:jc w:val="center"/>
                    <w:rPr>
                      <w:b/>
                      <w:bCs/>
                      <w:sz w:val="21"/>
                      <w:szCs w:val="21"/>
                    </w:rPr>
                  </w:pPr>
                  <w:r>
                    <w:rPr>
                      <w:b/>
                      <w:bCs/>
                      <w:sz w:val="21"/>
                      <w:szCs w:val="21"/>
                    </w:rPr>
                    <w:t>坐标（度）</w:t>
                  </w:r>
                </w:p>
              </w:tc>
              <w:tc>
                <w:tcPr>
                  <w:tcW w:w="1338" w:type="dxa"/>
                  <w:vMerge w:val="restart"/>
                  <w:vAlign w:val="center"/>
                </w:tcPr>
                <w:p>
                  <w:pPr>
                    <w:pStyle w:val="38"/>
                    <w:snapToGrid w:val="0"/>
                    <w:spacing w:after="0"/>
                    <w:ind w:left="0" w:leftChars="0" w:firstLine="0" w:firstLineChars="0"/>
                    <w:jc w:val="center"/>
                    <w:rPr>
                      <w:b/>
                      <w:bCs/>
                      <w:sz w:val="21"/>
                      <w:szCs w:val="21"/>
                    </w:rPr>
                  </w:pPr>
                  <w:r>
                    <w:rPr>
                      <w:b/>
                      <w:bCs/>
                      <w:sz w:val="21"/>
                      <w:szCs w:val="21"/>
                    </w:rPr>
                    <w:t>保护对象</w:t>
                  </w:r>
                </w:p>
              </w:tc>
              <w:tc>
                <w:tcPr>
                  <w:tcW w:w="647" w:type="dxa"/>
                  <w:vMerge w:val="restart"/>
                  <w:vAlign w:val="center"/>
                </w:tcPr>
                <w:p>
                  <w:pPr>
                    <w:pStyle w:val="38"/>
                    <w:snapToGrid w:val="0"/>
                    <w:spacing w:after="0"/>
                    <w:ind w:left="0" w:leftChars="0" w:firstLine="0" w:firstLineChars="0"/>
                    <w:jc w:val="center"/>
                    <w:rPr>
                      <w:b/>
                      <w:bCs/>
                      <w:sz w:val="21"/>
                      <w:szCs w:val="21"/>
                    </w:rPr>
                  </w:pPr>
                  <w:r>
                    <w:rPr>
                      <w:b/>
                      <w:bCs/>
                      <w:sz w:val="21"/>
                      <w:szCs w:val="21"/>
                    </w:rPr>
                    <w:t>保护内容</w:t>
                  </w:r>
                </w:p>
              </w:tc>
              <w:tc>
                <w:tcPr>
                  <w:tcW w:w="959" w:type="dxa"/>
                  <w:vMerge w:val="restart"/>
                  <w:vAlign w:val="center"/>
                </w:tcPr>
                <w:p>
                  <w:pPr>
                    <w:pStyle w:val="38"/>
                    <w:snapToGrid w:val="0"/>
                    <w:spacing w:after="0"/>
                    <w:ind w:left="0" w:leftChars="0" w:firstLine="0" w:firstLineChars="0"/>
                    <w:jc w:val="center"/>
                    <w:rPr>
                      <w:b/>
                      <w:bCs/>
                      <w:sz w:val="21"/>
                      <w:szCs w:val="21"/>
                    </w:rPr>
                  </w:pPr>
                  <w:r>
                    <w:rPr>
                      <w:b/>
                      <w:bCs/>
                      <w:sz w:val="21"/>
                      <w:szCs w:val="21"/>
                    </w:rPr>
                    <w:t>环境</w:t>
                  </w:r>
                </w:p>
                <w:p>
                  <w:pPr>
                    <w:pStyle w:val="38"/>
                    <w:snapToGrid w:val="0"/>
                    <w:spacing w:after="0"/>
                    <w:ind w:left="0" w:leftChars="0" w:firstLine="0" w:firstLineChars="0"/>
                    <w:jc w:val="center"/>
                    <w:rPr>
                      <w:b/>
                      <w:bCs/>
                      <w:sz w:val="21"/>
                      <w:szCs w:val="21"/>
                    </w:rPr>
                  </w:pPr>
                  <w:r>
                    <w:rPr>
                      <w:b/>
                      <w:bCs/>
                      <w:sz w:val="21"/>
                      <w:szCs w:val="21"/>
                    </w:rPr>
                    <w:t>功能区</w:t>
                  </w:r>
                </w:p>
              </w:tc>
              <w:tc>
                <w:tcPr>
                  <w:tcW w:w="850" w:type="dxa"/>
                  <w:vMerge w:val="restart"/>
                  <w:vAlign w:val="center"/>
                </w:tcPr>
                <w:p>
                  <w:pPr>
                    <w:pStyle w:val="38"/>
                    <w:snapToGrid w:val="0"/>
                    <w:spacing w:after="0"/>
                    <w:ind w:left="0" w:leftChars="0" w:firstLine="0" w:firstLineChars="0"/>
                    <w:jc w:val="center"/>
                    <w:rPr>
                      <w:b/>
                      <w:bCs/>
                      <w:sz w:val="21"/>
                      <w:szCs w:val="21"/>
                    </w:rPr>
                  </w:pPr>
                  <w:r>
                    <w:rPr>
                      <w:b/>
                      <w:bCs/>
                      <w:sz w:val="21"/>
                      <w:szCs w:val="21"/>
                    </w:rPr>
                    <w:t>相对项目方位</w:t>
                  </w:r>
                </w:p>
              </w:tc>
              <w:tc>
                <w:tcPr>
                  <w:tcW w:w="1072" w:type="dxa"/>
                  <w:vMerge w:val="restart"/>
                  <w:vAlign w:val="center"/>
                </w:tcPr>
                <w:p>
                  <w:pPr>
                    <w:pStyle w:val="38"/>
                    <w:snapToGrid w:val="0"/>
                    <w:spacing w:after="0"/>
                    <w:ind w:left="0" w:leftChars="0" w:firstLine="0" w:firstLineChars="0"/>
                    <w:jc w:val="center"/>
                    <w:rPr>
                      <w:b/>
                      <w:bCs/>
                      <w:sz w:val="21"/>
                      <w:szCs w:val="21"/>
                    </w:rPr>
                  </w:pPr>
                  <w:r>
                    <w:rPr>
                      <w:b/>
                      <w:bCs/>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b/>
                      <w:bCs/>
                      <w:sz w:val="21"/>
                      <w:szCs w:val="21"/>
                    </w:rPr>
                  </w:pPr>
                  <w:r>
                    <w:rPr>
                      <w:b/>
                      <w:bCs/>
                      <w:sz w:val="21"/>
                      <w:szCs w:val="21"/>
                    </w:rPr>
                    <w:t>经度</w:t>
                  </w:r>
                </w:p>
              </w:tc>
              <w:tc>
                <w:tcPr>
                  <w:tcW w:w="1275" w:type="dxa"/>
                  <w:vAlign w:val="center"/>
                </w:tcPr>
                <w:p>
                  <w:pPr>
                    <w:pStyle w:val="38"/>
                    <w:snapToGrid w:val="0"/>
                    <w:spacing w:after="0"/>
                    <w:ind w:left="0" w:leftChars="0" w:firstLine="0" w:firstLineChars="0"/>
                    <w:jc w:val="center"/>
                    <w:rPr>
                      <w:b/>
                      <w:bCs/>
                      <w:sz w:val="21"/>
                      <w:szCs w:val="21"/>
                    </w:rPr>
                  </w:pPr>
                  <w:r>
                    <w:rPr>
                      <w:b/>
                      <w:bCs/>
                      <w:sz w:val="21"/>
                      <w:szCs w:val="21"/>
                    </w:rPr>
                    <w:t>纬度</w:t>
                  </w:r>
                </w:p>
              </w:tc>
              <w:tc>
                <w:tcPr>
                  <w:tcW w:w="1338" w:type="dxa"/>
                  <w:vMerge w:val="continue"/>
                  <w:vAlign w:val="center"/>
                </w:tcPr>
                <w:p>
                  <w:pPr>
                    <w:pStyle w:val="38"/>
                    <w:snapToGrid w:val="0"/>
                    <w:spacing w:after="0"/>
                    <w:ind w:left="0" w:leftChars="0" w:firstLine="0" w:firstLineChars="0"/>
                    <w:jc w:val="center"/>
                    <w:rPr>
                      <w:sz w:val="21"/>
                      <w:szCs w:val="21"/>
                    </w:rPr>
                  </w:pP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Merge w:val="continue"/>
                  <w:vAlign w:val="center"/>
                </w:tcPr>
                <w:p>
                  <w:pPr>
                    <w:pStyle w:val="38"/>
                    <w:snapToGrid w:val="0"/>
                    <w:spacing w:after="0"/>
                    <w:ind w:left="0" w:leftChars="0" w:firstLine="0" w:firstLineChars="0"/>
                    <w:jc w:val="center"/>
                    <w:rPr>
                      <w:sz w:val="21"/>
                      <w:szCs w:val="21"/>
                    </w:rPr>
                  </w:pPr>
                </w:p>
              </w:tc>
              <w:tc>
                <w:tcPr>
                  <w:tcW w:w="1072" w:type="dxa"/>
                  <w:vMerge w:val="continue"/>
                  <w:vAlign w:val="center"/>
                </w:tcPr>
                <w:p>
                  <w:pPr>
                    <w:pStyle w:val="38"/>
                    <w:snapToGrid w:val="0"/>
                    <w:spacing w:after="0"/>
                    <w:ind w:left="0" w:leftChars="0"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restart"/>
                  <w:vAlign w:val="center"/>
                </w:tcPr>
                <w:p>
                  <w:pPr>
                    <w:pStyle w:val="38"/>
                    <w:snapToGrid w:val="0"/>
                    <w:spacing w:after="0"/>
                    <w:ind w:left="0" w:leftChars="0" w:firstLine="0" w:firstLineChars="0"/>
                    <w:jc w:val="center"/>
                    <w:rPr>
                      <w:sz w:val="21"/>
                      <w:szCs w:val="21"/>
                    </w:rPr>
                  </w:pPr>
                  <w:r>
                    <w:rPr>
                      <w:sz w:val="21"/>
                      <w:szCs w:val="21"/>
                    </w:rPr>
                    <w:t>环境空气</w:t>
                  </w: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109°53′34.64″</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37°36′6.12″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水浇湾村居民点1</w:t>
                  </w:r>
                </w:p>
              </w:tc>
              <w:tc>
                <w:tcPr>
                  <w:tcW w:w="647" w:type="dxa"/>
                  <w:vMerge w:val="restart"/>
                  <w:vAlign w:val="center"/>
                </w:tcPr>
                <w:p>
                  <w:pPr>
                    <w:pStyle w:val="38"/>
                    <w:snapToGrid w:val="0"/>
                    <w:spacing w:after="0"/>
                    <w:ind w:left="0" w:leftChars="0" w:firstLine="0" w:firstLineChars="0"/>
                    <w:jc w:val="center"/>
                    <w:rPr>
                      <w:sz w:val="21"/>
                      <w:szCs w:val="21"/>
                    </w:rPr>
                  </w:pPr>
                  <w:r>
                    <w:rPr>
                      <w:rFonts w:hint="eastAsia"/>
                      <w:sz w:val="21"/>
                      <w:szCs w:val="21"/>
                    </w:rPr>
                    <w:t>居民健康</w:t>
                  </w:r>
                </w:p>
              </w:tc>
              <w:tc>
                <w:tcPr>
                  <w:tcW w:w="959" w:type="dxa"/>
                  <w:vMerge w:val="restart"/>
                  <w:vAlign w:val="center"/>
                </w:tcPr>
                <w:p>
                  <w:pPr>
                    <w:pStyle w:val="38"/>
                    <w:snapToGrid w:val="0"/>
                    <w:spacing w:after="0"/>
                    <w:ind w:left="0" w:leftChars="0" w:firstLine="0" w:firstLineChars="0"/>
                    <w:jc w:val="center"/>
                    <w:rPr>
                      <w:sz w:val="21"/>
                      <w:szCs w:val="21"/>
                    </w:rPr>
                  </w:pPr>
                  <w:r>
                    <w:rPr>
                      <w:sz w:val="21"/>
                      <w:szCs w:val="21"/>
                    </w:rPr>
                    <w:t>二类区</w:t>
                  </w:r>
                </w:p>
              </w:tc>
              <w:tc>
                <w:tcPr>
                  <w:tcW w:w="850" w:type="dxa"/>
                  <w:vAlign w:val="center"/>
                </w:tcPr>
                <w:p>
                  <w:pPr>
                    <w:pStyle w:val="38"/>
                    <w:snapToGrid w:val="0"/>
                    <w:spacing w:after="0"/>
                    <w:ind w:left="0" w:leftChars="0" w:firstLine="0" w:firstLineChars="0"/>
                    <w:jc w:val="center"/>
                    <w:rPr>
                      <w:sz w:val="21"/>
                      <w:szCs w:val="21"/>
                    </w:rPr>
                  </w:pPr>
                  <w:r>
                    <w:rPr>
                      <w:sz w:val="21"/>
                      <w:szCs w:val="21"/>
                    </w:rPr>
                    <w:t>S</w:t>
                  </w:r>
                </w:p>
              </w:tc>
              <w:tc>
                <w:tcPr>
                  <w:tcW w:w="1072" w:type="dxa"/>
                  <w:vAlign w:val="center"/>
                </w:tcPr>
                <w:p>
                  <w:pPr>
                    <w:pStyle w:val="38"/>
                    <w:snapToGrid w:val="0"/>
                    <w:spacing w:after="0"/>
                    <w:ind w:left="0" w:leftChars="0" w:firstLine="0" w:firstLineChars="0"/>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109°53′30.99″</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37°36′4.80″</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2</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S</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109°53′29.74″</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37°36′5.62″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3</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W</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109°53′33.39″</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37°36′8.62″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4</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N</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109°53′33.13″</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37°36′4.66″</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5</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S</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6</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109°53′37.70″</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37°36′9.58″</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水浇湾村居民点6</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sz w:val="21"/>
                      <w:szCs w:val="21"/>
                    </w:rPr>
                    <w:t>WN</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5</w:t>
                  </w: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109°53′39.35</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37°36′2.12″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马蹄沟镇居民</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S</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restart"/>
                  <w:vAlign w:val="center"/>
                </w:tcPr>
                <w:p>
                  <w:pPr>
                    <w:pStyle w:val="38"/>
                    <w:snapToGrid w:val="0"/>
                    <w:spacing w:after="0"/>
                    <w:ind w:left="0" w:leftChars="0" w:firstLine="0" w:firstLineChars="0"/>
                    <w:jc w:val="center"/>
                    <w:rPr>
                      <w:sz w:val="21"/>
                      <w:szCs w:val="21"/>
                    </w:rPr>
                  </w:pPr>
                  <w:r>
                    <w:rPr>
                      <w:sz w:val="21"/>
                      <w:szCs w:val="21"/>
                    </w:rPr>
                    <w:t>声环境</w:t>
                  </w: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109°53′34.64″</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37°36′6.12″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水浇湾村居民点1</w:t>
                  </w:r>
                </w:p>
              </w:tc>
              <w:tc>
                <w:tcPr>
                  <w:tcW w:w="647" w:type="dxa"/>
                  <w:vMerge w:val="restart"/>
                  <w:vAlign w:val="center"/>
                </w:tcPr>
                <w:p>
                  <w:pPr>
                    <w:pStyle w:val="38"/>
                    <w:snapToGrid w:val="0"/>
                    <w:spacing w:after="0"/>
                    <w:ind w:left="0" w:leftChars="0" w:firstLine="0" w:firstLineChars="0"/>
                    <w:jc w:val="center"/>
                    <w:rPr>
                      <w:sz w:val="21"/>
                      <w:szCs w:val="21"/>
                    </w:rPr>
                  </w:pPr>
                  <w:r>
                    <w:rPr>
                      <w:sz w:val="21"/>
                      <w:szCs w:val="21"/>
                    </w:rPr>
                    <w:t>居民</w:t>
                  </w:r>
                  <w:r>
                    <w:rPr>
                      <w:rFonts w:hint="eastAsia"/>
                      <w:sz w:val="21"/>
                      <w:szCs w:val="21"/>
                    </w:rPr>
                    <w:t>健康</w:t>
                  </w:r>
                </w:p>
              </w:tc>
              <w:tc>
                <w:tcPr>
                  <w:tcW w:w="959" w:type="dxa"/>
                  <w:vMerge w:val="restart"/>
                  <w:vAlign w:val="center"/>
                </w:tcPr>
                <w:p>
                  <w:pPr>
                    <w:pStyle w:val="38"/>
                    <w:snapToGrid w:val="0"/>
                    <w:spacing w:after="0"/>
                    <w:ind w:left="0" w:leftChars="0" w:firstLine="0" w:firstLineChars="0"/>
                    <w:jc w:val="center"/>
                    <w:rPr>
                      <w:sz w:val="21"/>
                      <w:szCs w:val="21"/>
                    </w:rPr>
                  </w:pPr>
                  <w:r>
                    <w:rPr>
                      <w:sz w:val="21"/>
                      <w:szCs w:val="21"/>
                    </w:rPr>
                    <w:t>2类区</w:t>
                  </w:r>
                </w:p>
              </w:tc>
              <w:tc>
                <w:tcPr>
                  <w:tcW w:w="850" w:type="dxa"/>
                  <w:vAlign w:val="center"/>
                </w:tcPr>
                <w:p>
                  <w:pPr>
                    <w:pStyle w:val="38"/>
                    <w:snapToGrid w:val="0"/>
                    <w:spacing w:after="0"/>
                    <w:ind w:left="0" w:leftChars="0" w:firstLine="0" w:firstLineChars="0"/>
                    <w:jc w:val="center"/>
                    <w:rPr>
                      <w:sz w:val="21"/>
                      <w:szCs w:val="21"/>
                    </w:rPr>
                  </w:pPr>
                  <w:r>
                    <w:rPr>
                      <w:sz w:val="21"/>
                      <w:szCs w:val="21"/>
                    </w:rPr>
                    <w:t>S</w:t>
                  </w:r>
                </w:p>
              </w:tc>
              <w:tc>
                <w:tcPr>
                  <w:tcW w:w="1072" w:type="dxa"/>
                  <w:vAlign w:val="center"/>
                </w:tcPr>
                <w:p>
                  <w:pPr>
                    <w:pStyle w:val="38"/>
                    <w:snapToGrid w:val="0"/>
                    <w:spacing w:after="0"/>
                    <w:ind w:left="0" w:leftChars="0" w:firstLine="0" w:firstLineChars="0"/>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109°53′30.99″</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37°36′4.80″</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2</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S</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109°53′29.74″</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37°36′5.62″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3</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W</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Merge w:val="continue"/>
                  <w:vAlign w:val="center"/>
                </w:tcPr>
                <w:p>
                  <w:pPr>
                    <w:pStyle w:val="38"/>
                    <w:snapToGrid w:val="0"/>
                    <w:spacing w:after="0"/>
                    <w:ind w:left="0" w:leftChars="0" w:firstLine="0" w:firstLineChars="0"/>
                    <w:jc w:val="center"/>
                    <w:rPr>
                      <w:sz w:val="21"/>
                      <w:szCs w:val="21"/>
                    </w:rPr>
                  </w:pPr>
                </w:p>
              </w:tc>
              <w:tc>
                <w:tcPr>
                  <w:tcW w:w="1515" w:type="dxa"/>
                  <w:vAlign w:val="center"/>
                </w:tcPr>
                <w:p>
                  <w:pPr>
                    <w:pStyle w:val="38"/>
                    <w:snapToGrid w:val="0"/>
                    <w:spacing w:after="0"/>
                    <w:ind w:left="0" w:leftChars="0" w:firstLine="0" w:firstLineChars="0"/>
                    <w:jc w:val="center"/>
                    <w:rPr>
                      <w:spacing w:val="-17"/>
                      <w:sz w:val="21"/>
                      <w:szCs w:val="21"/>
                    </w:rPr>
                  </w:pPr>
                  <w:r>
                    <w:rPr>
                      <w:sz w:val="21"/>
                      <w:szCs w:val="21"/>
                    </w:rPr>
                    <w:t>109°53′33.39″</w:t>
                  </w:r>
                </w:p>
              </w:tc>
              <w:tc>
                <w:tcPr>
                  <w:tcW w:w="1275" w:type="dxa"/>
                  <w:vAlign w:val="center"/>
                </w:tcPr>
                <w:p>
                  <w:pPr>
                    <w:pStyle w:val="38"/>
                    <w:snapToGrid w:val="0"/>
                    <w:spacing w:after="0"/>
                    <w:ind w:left="0" w:leftChars="0" w:firstLine="0" w:firstLineChars="0"/>
                    <w:jc w:val="center"/>
                    <w:rPr>
                      <w:spacing w:val="-17"/>
                      <w:sz w:val="21"/>
                      <w:szCs w:val="21"/>
                    </w:rPr>
                  </w:pPr>
                  <w:r>
                    <w:rPr>
                      <w:sz w:val="21"/>
                      <w:szCs w:val="21"/>
                    </w:rPr>
                    <w:t>37°36′8.62″</w:t>
                  </w:r>
                </w:p>
              </w:tc>
              <w:tc>
                <w:tcPr>
                  <w:tcW w:w="1338" w:type="dxa"/>
                  <w:vAlign w:val="center"/>
                </w:tcPr>
                <w:p>
                  <w:pPr>
                    <w:pStyle w:val="38"/>
                    <w:snapToGrid w:val="0"/>
                    <w:spacing w:after="0"/>
                    <w:ind w:left="0" w:leftChars="0" w:firstLine="0" w:firstLineChars="0"/>
                    <w:jc w:val="center"/>
                    <w:rPr>
                      <w:sz w:val="21"/>
                      <w:szCs w:val="21"/>
                    </w:rPr>
                  </w:pPr>
                  <w:r>
                    <w:rPr>
                      <w:rFonts w:hint="eastAsia"/>
                      <w:sz w:val="21"/>
                      <w:szCs w:val="21"/>
                    </w:rPr>
                    <w:t>水浇湾村居民点</w:t>
                  </w:r>
                  <w:r>
                    <w:rPr>
                      <w:sz w:val="21"/>
                      <w:szCs w:val="21"/>
                    </w:rPr>
                    <w:t>4</w:t>
                  </w:r>
                </w:p>
              </w:tc>
              <w:tc>
                <w:tcPr>
                  <w:tcW w:w="647" w:type="dxa"/>
                  <w:vMerge w:val="continue"/>
                  <w:vAlign w:val="center"/>
                </w:tcPr>
                <w:p>
                  <w:pPr>
                    <w:pStyle w:val="38"/>
                    <w:snapToGrid w:val="0"/>
                    <w:spacing w:after="0"/>
                    <w:ind w:left="0" w:leftChars="0" w:firstLine="0" w:firstLineChars="0"/>
                    <w:jc w:val="center"/>
                    <w:rPr>
                      <w:sz w:val="21"/>
                      <w:szCs w:val="21"/>
                    </w:rPr>
                  </w:pPr>
                </w:p>
              </w:tc>
              <w:tc>
                <w:tcPr>
                  <w:tcW w:w="959" w:type="dxa"/>
                  <w:vMerge w:val="continue"/>
                  <w:vAlign w:val="center"/>
                </w:tcPr>
                <w:p>
                  <w:pPr>
                    <w:pStyle w:val="38"/>
                    <w:snapToGrid w:val="0"/>
                    <w:spacing w:after="0"/>
                    <w:ind w:left="0" w:leftChars="0" w:firstLine="0" w:firstLineChars="0"/>
                    <w:jc w:val="center"/>
                    <w:rPr>
                      <w:sz w:val="21"/>
                      <w:szCs w:val="21"/>
                    </w:rPr>
                  </w:pPr>
                </w:p>
              </w:tc>
              <w:tc>
                <w:tcPr>
                  <w:tcW w:w="850" w:type="dxa"/>
                  <w:vAlign w:val="center"/>
                </w:tcPr>
                <w:p>
                  <w:pPr>
                    <w:pStyle w:val="38"/>
                    <w:snapToGrid w:val="0"/>
                    <w:spacing w:after="0"/>
                    <w:ind w:left="0" w:leftChars="0" w:firstLine="0" w:firstLineChars="0"/>
                    <w:jc w:val="center"/>
                    <w:rPr>
                      <w:sz w:val="21"/>
                      <w:szCs w:val="21"/>
                    </w:rPr>
                  </w:pPr>
                  <w:r>
                    <w:rPr>
                      <w:rFonts w:hint="eastAsia"/>
                      <w:sz w:val="21"/>
                      <w:szCs w:val="21"/>
                    </w:rPr>
                    <w:t>N</w:t>
                  </w:r>
                </w:p>
              </w:tc>
              <w:tc>
                <w:tcPr>
                  <w:tcW w:w="1072" w:type="dxa"/>
                  <w:vAlign w:val="center"/>
                </w:tcPr>
                <w:p>
                  <w:pPr>
                    <w:pStyle w:val="38"/>
                    <w:snapToGrid w:val="0"/>
                    <w:spacing w:after="0"/>
                    <w:ind w:left="0" w:leftChars="0" w:firstLine="0" w:firstLineChars="0"/>
                    <w:jc w:val="center"/>
                    <w:rPr>
                      <w:sz w:val="21"/>
                      <w:szCs w:val="21"/>
                    </w:rPr>
                  </w:pPr>
                  <w:r>
                    <w:rPr>
                      <w:rFonts w:hint="eastAsia"/>
                      <w:sz w:val="21"/>
                      <w:szCs w:val="21"/>
                    </w:rPr>
                    <w:t>1</w:t>
                  </w:r>
                  <w:r>
                    <w:rPr>
                      <w:sz w:val="21"/>
                      <w:szCs w:val="21"/>
                    </w:rPr>
                    <w:t>0</w:t>
                  </w:r>
                </w:p>
              </w:tc>
            </w:tr>
          </w:tbl>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rPr>
                <w:kern w:val="0"/>
                <w:szCs w:val="21"/>
              </w:rPr>
            </w:pPr>
          </w:p>
          <w:p>
            <w:pPr>
              <w:adjustRightInd w:val="0"/>
              <w:snapToGrid w:val="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2" w:hRule="atLeast"/>
          <w:jc w:val="center"/>
        </w:trPr>
        <w:tc>
          <w:tcPr>
            <w:tcW w:w="456" w:type="dxa"/>
            <w:tcMar>
              <w:left w:w="28" w:type="dxa"/>
              <w:right w:w="28" w:type="dxa"/>
            </w:tcMar>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 w:val="24"/>
              </w:rPr>
            </w:pPr>
            <w:r>
              <w:rPr>
                <w:kern w:val="0"/>
                <w:sz w:val="24"/>
              </w:rPr>
              <w:t>准</w:t>
            </w:r>
          </w:p>
        </w:tc>
        <w:tc>
          <w:tcPr>
            <w:tcW w:w="8605" w:type="dxa"/>
            <w:vAlign w:val="center"/>
          </w:tcPr>
          <w:p>
            <w:pPr>
              <w:spacing w:line="360" w:lineRule="auto"/>
              <w:ind w:firstLine="480" w:firstLineChars="200"/>
              <w:jc w:val="left"/>
              <w:rPr>
                <w:sz w:val="24"/>
              </w:rPr>
            </w:pPr>
            <w:r>
              <w:rPr>
                <w:sz w:val="24"/>
              </w:rPr>
              <w:t>（1）</w:t>
            </w:r>
            <w:r>
              <w:rPr>
                <w:rFonts w:hint="eastAsia"/>
                <w:sz w:val="24"/>
              </w:rPr>
              <w:t>废气：</w:t>
            </w:r>
            <w:r>
              <w:rPr>
                <w:sz w:val="24"/>
              </w:rPr>
              <w:t>施工期扬尘执行《施工场界扬尘排放限值》（DB61/1078-2017）表1中浓度限值；运营期</w:t>
            </w:r>
            <w:r>
              <w:rPr>
                <w:rFonts w:hint="eastAsia"/>
                <w:sz w:val="24"/>
              </w:rPr>
              <w:t>污水处理站产生的废气排放有组织排放执行《恶臭污染物排放标准》（</w:t>
            </w:r>
            <w:r>
              <w:rPr>
                <w:sz w:val="24"/>
              </w:rPr>
              <w:t>GB14554-93</w:t>
            </w:r>
            <w:r>
              <w:rPr>
                <w:rFonts w:hint="eastAsia"/>
                <w:sz w:val="24"/>
              </w:rPr>
              <w:t>）表</w:t>
            </w:r>
            <w:r>
              <w:rPr>
                <w:sz w:val="24"/>
              </w:rPr>
              <w:t>2</w:t>
            </w:r>
            <w:r>
              <w:rPr>
                <w:rFonts w:hint="eastAsia"/>
                <w:sz w:val="24"/>
              </w:rPr>
              <w:t>中的标准要求；</w:t>
            </w:r>
            <w:r>
              <w:rPr>
                <w:sz w:val="24"/>
              </w:rPr>
              <w:t>锅炉废气执行《锅炉大气污染物排放标准》（</w:t>
            </w:r>
            <w:r>
              <w:rPr>
                <w:rFonts w:hint="eastAsia"/>
                <w:sz w:val="24"/>
              </w:rPr>
              <w:t>DB 61/1226</w:t>
            </w:r>
            <w:r>
              <w:rPr>
                <w:sz w:val="24"/>
              </w:rPr>
              <w:t>-201</w:t>
            </w:r>
            <w:r>
              <w:rPr>
                <w:rFonts w:hint="eastAsia"/>
                <w:sz w:val="24"/>
              </w:rPr>
              <w:t>8</w:t>
            </w:r>
            <w:r>
              <w:rPr>
                <w:sz w:val="24"/>
              </w:rPr>
              <w:t>）中燃气锅炉排放限值</w:t>
            </w:r>
            <w:r>
              <w:rPr>
                <w:rFonts w:hint="eastAsia"/>
                <w:sz w:val="24"/>
              </w:rPr>
              <w:t>；</w:t>
            </w:r>
            <w:r>
              <w:rPr>
                <w:rFonts w:hint="eastAsia"/>
                <w:sz w:val="24"/>
                <w:lang w:val="zh-CN"/>
              </w:rPr>
              <w:t>食堂油烟废气参照执行《饮食业油烟排放标准（试行）》（GB18483-2001）中的中型规模要求。</w:t>
            </w:r>
          </w:p>
          <w:p>
            <w:pPr>
              <w:snapToGrid w:val="0"/>
              <w:jc w:val="center"/>
              <w:rPr>
                <w:b/>
                <w:sz w:val="24"/>
                <w:lang w:val="zh-CN"/>
              </w:rPr>
            </w:pPr>
            <w:r>
              <w:rPr>
                <w:b/>
                <w:sz w:val="24"/>
                <w:lang w:val="zh-CN"/>
              </w:rPr>
              <w:t>表</w:t>
            </w:r>
            <w:r>
              <w:rPr>
                <w:b/>
                <w:sz w:val="24"/>
              </w:rPr>
              <w:t xml:space="preserve">3-5  </w:t>
            </w:r>
            <w:r>
              <w:rPr>
                <w:b/>
                <w:sz w:val="24"/>
                <w:lang w:val="zh-CN"/>
              </w:rPr>
              <w:t xml:space="preserve"> </w:t>
            </w:r>
            <w:r>
              <w:rPr>
                <w:b/>
                <w:bCs/>
                <w:sz w:val="24"/>
              </w:rPr>
              <w:t>大气污染物排放标准</w:t>
            </w:r>
            <w:r>
              <w:rPr>
                <w:b/>
                <w:bCs/>
                <w:sz w:val="24"/>
                <w:lang w:val="en-GB"/>
              </w:rPr>
              <w:t>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6"/>
              <w:gridCol w:w="964"/>
              <w:gridCol w:w="671"/>
              <w:gridCol w:w="1015"/>
              <w:gridCol w:w="1432"/>
              <w:gridCol w:w="2410"/>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tblHeader/>
                <w:jc w:val="center"/>
              </w:trPr>
              <w:tc>
                <w:tcPr>
                  <w:tcW w:w="846" w:type="dxa"/>
                  <w:vAlign w:val="center"/>
                </w:tcPr>
                <w:p>
                  <w:pPr>
                    <w:wordWrap w:val="0"/>
                    <w:snapToGrid w:val="0"/>
                    <w:jc w:val="center"/>
                    <w:rPr>
                      <w:b/>
                      <w:bCs/>
                      <w:szCs w:val="21"/>
                    </w:rPr>
                  </w:pPr>
                  <w:r>
                    <w:rPr>
                      <w:b/>
                      <w:bCs/>
                      <w:szCs w:val="21"/>
                    </w:rPr>
                    <w:t>时段</w:t>
                  </w:r>
                </w:p>
              </w:tc>
              <w:tc>
                <w:tcPr>
                  <w:tcW w:w="2650" w:type="dxa"/>
                  <w:gridSpan w:val="3"/>
                  <w:vAlign w:val="center"/>
                </w:tcPr>
                <w:p>
                  <w:pPr>
                    <w:wordWrap w:val="0"/>
                    <w:snapToGrid w:val="0"/>
                    <w:jc w:val="center"/>
                    <w:rPr>
                      <w:b/>
                      <w:bCs/>
                      <w:szCs w:val="21"/>
                    </w:rPr>
                  </w:pPr>
                  <w:r>
                    <w:rPr>
                      <w:b/>
                      <w:bCs/>
                      <w:szCs w:val="21"/>
                    </w:rPr>
                    <w:t>污染物</w:t>
                  </w:r>
                </w:p>
              </w:tc>
              <w:tc>
                <w:tcPr>
                  <w:tcW w:w="1432" w:type="dxa"/>
                  <w:vAlign w:val="center"/>
                </w:tcPr>
                <w:p>
                  <w:pPr>
                    <w:wordWrap w:val="0"/>
                    <w:snapToGrid w:val="0"/>
                    <w:jc w:val="center"/>
                    <w:rPr>
                      <w:b/>
                      <w:bCs/>
                      <w:szCs w:val="21"/>
                    </w:rPr>
                  </w:pPr>
                  <w:r>
                    <w:rPr>
                      <w:rFonts w:hint="eastAsia"/>
                      <w:b/>
                      <w:bCs/>
                      <w:szCs w:val="21"/>
                    </w:rPr>
                    <w:t>排放</w:t>
                  </w:r>
                  <w:r>
                    <w:rPr>
                      <w:b/>
                      <w:bCs/>
                      <w:szCs w:val="21"/>
                    </w:rPr>
                    <w:t>限值</w:t>
                  </w:r>
                </w:p>
              </w:tc>
              <w:tc>
                <w:tcPr>
                  <w:tcW w:w="2410" w:type="dxa"/>
                  <w:vAlign w:val="center"/>
                </w:tcPr>
                <w:p>
                  <w:pPr>
                    <w:wordWrap w:val="0"/>
                    <w:snapToGrid w:val="0"/>
                    <w:jc w:val="center"/>
                    <w:rPr>
                      <w:b/>
                      <w:bCs/>
                      <w:szCs w:val="21"/>
                    </w:rPr>
                  </w:pPr>
                  <w:r>
                    <w:rPr>
                      <w:b/>
                      <w:bCs/>
                      <w:szCs w:val="21"/>
                    </w:rPr>
                    <w:t>执行标准</w:t>
                  </w:r>
                </w:p>
              </w:tc>
              <w:tc>
                <w:tcPr>
                  <w:tcW w:w="1041" w:type="dxa"/>
                  <w:vAlign w:val="center"/>
                </w:tcPr>
                <w:p>
                  <w:pPr>
                    <w:wordWrap w:val="0"/>
                    <w:snapToGrid w:val="0"/>
                    <w:jc w:val="center"/>
                    <w:rPr>
                      <w:b/>
                      <w:bCs/>
                      <w:szCs w:val="21"/>
                    </w:rPr>
                  </w:pPr>
                  <w:r>
                    <w:rPr>
                      <w:rFonts w:hint="eastAsia"/>
                      <w:b/>
                      <w:bCs/>
                      <w:szCs w:val="21"/>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Align w:val="center"/>
                </w:tcPr>
                <w:p>
                  <w:pPr>
                    <w:wordWrap w:val="0"/>
                    <w:snapToGrid w:val="0"/>
                    <w:jc w:val="center"/>
                    <w:rPr>
                      <w:szCs w:val="21"/>
                    </w:rPr>
                  </w:pPr>
                  <w:r>
                    <w:rPr>
                      <w:szCs w:val="21"/>
                    </w:rPr>
                    <w:t>施工期</w:t>
                  </w:r>
                </w:p>
              </w:tc>
              <w:tc>
                <w:tcPr>
                  <w:tcW w:w="2650" w:type="dxa"/>
                  <w:gridSpan w:val="3"/>
                  <w:vAlign w:val="center"/>
                </w:tcPr>
                <w:p>
                  <w:pPr>
                    <w:wordWrap w:val="0"/>
                    <w:snapToGrid w:val="0"/>
                    <w:jc w:val="center"/>
                    <w:rPr>
                      <w:szCs w:val="21"/>
                    </w:rPr>
                  </w:pPr>
                  <w:r>
                    <w:rPr>
                      <w:szCs w:val="21"/>
                    </w:rPr>
                    <w:t>TSP</w:t>
                  </w:r>
                </w:p>
              </w:tc>
              <w:tc>
                <w:tcPr>
                  <w:tcW w:w="1432" w:type="dxa"/>
                  <w:vAlign w:val="center"/>
                </w:tcPr>
                <w:p>
                  <w:pPr>
                    <w:wordWrap w:val="0"/>
                    <w:snapToGrid w:val="0"/>
                    <w:jc w:val="center"/>
                    <w:rPr>
                      <w:szCs w:val="21"/>
                    </w:rPr>
                  </w:pPr>
                  <w:r>
                    <w:rPr>
                      <w:szCs w:val="21"/>
                    </w:rPr>
                    <w:t>≤0.7mg/m</w:t>
                  </w:r>
                  <w:r>
                    <w:rPr>
                      <w:szCs w:val="21"/>
                      <w:vertAlign w:val="superscript"/>
                    </w:rPr>
                    <w:t>3</w:t>
                  </w:r>
                </w:p>
              </w:tc>
              <w:tc>
                <w:tcPr>
                  <w:tcW w:w="2410" w:type="dxa"/>
                  <w:vAlign w:val="center"/>
                </w:tcPr>
                <w:p>
                  <w:pPr>
                    <w:wordWrap w:val="0"/>
                    <w:snapToGrid w:val="0"/>
                    <w:jc w:val="center"/>
                    <w:rPr>
                      <w:szCs w:val="21"/>
                    </w:rPr>
                  </w:pPr>
                  <w:r>
                    <w:rPr>
                      <w:szCs w:val="21"/>
                    </w:rPr>
                    <w:t>《施工场界扬尘排放限值》</w:t>
                  </w:r>
                </w:p>
                <w:p>
                  <w:pPr>
                    <w:wordWrap w:val="0"/>
                    <w:snapToGrid w:val="0"/>
                    <w:jc w:val="center"/>
                    <w:rPr>
                      <w:szCs w:val="21"/>
                    </w:rPr>
                  </w:pPr>
                  <w:r>
                    <w:rPr>
                      <w:szCs w:val="21"/>
                    </w:rPr>
                    <w:t>（DB61/1078-2017）</w:t>
                  </w:r>
                </w:p>
              </w:tc>
              <w:tc>
                <w:tcPr>
                  <w:tcW w:w="1041" w:type="dxa"/>
                  <w:vAlign w:val="center"/>
                </w:tcPr>
                <w:p>
                  <w:pPr>
                    <w:wordWrap w:val="0"/>
                    <w:snapToGrid w:val="0"/>
                    <w:jc w:val="center"/>
                    <w:rPr>
                      <w:szCs w:val="21"/>
                    </w:rPr>
                  </w:pPr>
                  <w:r>
                    <w:rPr>
                      <w:rFonts w:hint="eastAsia"/>
                      <w:szCs w:val="21"/>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restart"/>
                  <w:vAlign w:val="center"/>
                </w:tcPr>
                <w:p>
                  <w:pPr>
                    <w:wordWrap w:val="0"/>
                    <w:snapToGrid w:val="0"/>
                    <w:jc w:val="center"/>
                    <w:rPr>
                      <w:szCs w:val="21"/>
                    </w:rPr>
                  </w:pPr>
                  <w:r>
                    <w:rPr>
                      <w:szCs w:val="21"/>
                      <w:lang w:val="zh-CN"/>
                    </w:rPr>
                    <w:t>运营期</w:t>
                  </w:r>
                </w:p>
              </w:tc>
              <w:tc>
                <w:tcPr>
                  <w:tcW w:w="964" w:type="dxa"/>
                  <w:vMerge w:val="restart"/>
                  <w:vAlign w:val="center"/>
                </w:tcPr>
                <w:p>
                  <w:pPr>
                    <w:wordWrap w:val="0"/>
                    <w:snapToGrid w:val="0"/>
                    <w:jc w:val="center"/>
                    <w:rPr>
                      <w:szCs w:val="21"/>
                    </w:rPr>
                  </w:pPr>
                  <w:r>
                    <w:rPr>
                      <w:rFonts w:hint="eastAsia"/>
                      <w:szCs w:val="21"/>
                    </w:rPr>
                    <w:t>污水处理站废气</w:t>
                  </w:r>
                </w:p>
              </w:tc>
              <w:tc>
                <w:tcPr>
                  <w:tcW w:w="671" w:type="dxa"/>
                  <w:vMerge w:val="restart"/>
                  <w:vAlign w:val="center"/>
                </w:tcPr>
                <w:p>
                  <w:pPr>
                    <w:wordWrap w:val="0"/>
                    <w:snapToGrid w:val="0"/>
                    <w:jc w:val="center"/>
                    <w:rPr>
                      <w:szCs w:val="21"/>
                    </w:rPr>
                  </w:pPr>
                  <w:r>
                    <w:rPr>
                      <w:rFonts w:hint="eastAsia"/>
                      <w:szCs w:val="21"/>
                    </w:rPr>
                    <w:t>有组织</w:t>
                  </w:r>
                </w:p>
              </w:tc>
              <w:tc>
                <w:tcPr>
                  <w:tcW w:w="1015" w:type="dxa"/>
                  <w:vAlign w:val="center"/>
                </w:tcPr>
                <w:p>
                  <w:pPr>
                    <w:pStyle w:val="88"/>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1432" w:type="dxa"/>
                  <w:vAlign w:val="center"/>
                </w:tcPr>
                <w:p>
                  <w:pPr>
                    <w:pStyle w:val="88"/>
                    <w:rPr>
                      <w:rFonts w:ascii="Times New Roman" w:hAnsi="Times New Roman"/>
                      <w:szCs w:val="21"/>
                    </w:rPr>
                  </w:pPr>
                  <w:r>
                    <w:rPr>
                      <w:rFonts w:hint="eastAsia" w:ascii="Times New Roman" w:hAnsi="Times New Roman"/>
                      <w:szCs w:val="21"/>
                    </w:rPr>
                    <w:t>0</w:t>
                  </w:r>
                  <w:r>
                    <w:rPr>
                      <w:rFonts w:ascii="Times New Roman" w:hAnsi="Times New Roman"/>
                      <w:szCs w:val="21"/>
                    </w:rPr>
                    <w:t>.33kg/h</w:t>
                  </w:r>
                </w:p>
              </w:tc>
              <w:tc>
                <w:tcPr>
                  <w:tcW w:w="2410" w:type="dxa"/>
                  <w:vMerge w:val="restart"/>
                  <w:vAlign w:val="center"/>
                </w:tcPr>
                <w:p>
                  <w:pPr>
                    <w:wordWrap w:val="0"/>
                    <w:snapToGrid w:val="0"/>
                    <w:jc w:val="center"/>
                    <w:rPr>
                      <w:szCs w:val="21"/>
                    </w:rPr>
                  </w:pPr>
                  <w:r>
                    <w:rPr>
                      <w:rFonts w:hint="eastAsia"/>
                      <w:szCs w:val="21"/>
                    </w:rPr>
                    <w:t>《恶臭污染物排放标准》（</w:t>
                  </w:r>
                  <w:r>
                    <w:rPr>
                      <w:szCs w:val="21"/>
                    </w:rPr>
                    <w:t>GB14554-93</w:t>
                  </w:r>
                  <w:r>
                    <w:rPr>
                      <w:rFonts w:hint="eastAsia"/>
                      <w:szCs w:val="21"/>
                    </w:rPr>
                    <w:t>）表</w:t>
                  </w:r>
                  <w:r>
                    <w:rPr>
                      <w:szCs w:val="21"/>
                    </w:rPr>
                    <w:t>2</w:t>
                  </w:r>
                  <w:r>
                    <w:rPr>
                      <w:rFonts w:hint="eastAsia"/>
                      <w:szCs w:val="21"/>
                    </w:rPr>
                    <w:t>标准</w:t>
                  </w:r>
                </w:p>
              </w:tc>
              <w:tc>
                <w:tcPr>
                  <w:tcW w:w="1041" w:type="dxa"/>
                  <w:vMerge w:val="restart"/>
                  <w:vAlign w:val="center"/>
                </w:tcPr>
                <w:p>
                  <w:pPr>
                    <w:wordWrap w:val="0"/>
                    <w:snapToGrid w:val="0"/>
                    <w:jc w:val="center"/>
                    <w:rPr>
                      <w:szCs w:val="21"/>
                    </w:rPr>
                  </w:pPr>
                  <w:r>
                    <w:rPr>
                      <w:rFonts w:hint="eastAsia"/>
                      <w:szCs w:val="21"/>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continue"/>
                  <w:vAlign w:val="center"/>
                </w:tcPr>
                <w:p>
                  <w:pPr>
                    <w:wordWrap w:val="0"/>
                    <w:snapToGrid w:val="0"/>
                    <w:jc w:val="center"/>
                    <w:rPr>
                      <w:szCs w:val="21"/>
                      <w:lang w:val="zh-CN"/>
                    </w:rPr>
                  </w:pPr>
                </w:p>
              </w:tc>
              <w:tc>
                <w:tcPr>
                  <w:tcW w:w="964" w:type="dxa"/>
                  <w:vMerge w:val="continue"/>
                  <w:vAlign w:val="center"/>
                </w:tcPr>
                <w:p>
                  <w:pPr>
                    <w:wordWrap w:val="0"/>
                    <w:snapToGrid w:val="0"/>
                    <w:jc w:val="center"/>
                    <w:rPr>
                      <w:szCs w:val="21"/>
                    </w:rPr>
                  </w:pPr>
                </w:p>
              </w:tc>
              <w:tc>
                <w:tcPr>
                  <w:tcW w:w="671" w:type="dxa"/>
                  <w:vMerge w:val="continue"/>
                  <w:vAlign w:val="center"/>
                </w:tcPr>
                <w:p>
                  <w:pPr>
                    <w:wordWrap w:val="0"/>
                    <w:snapToGrid w:val="0"/>
                    <w:jc w:val="center"/>
                    <w:rPr>
                      <w:szCs w:val="21"/>
                    </w:rPr>
                  </w:pPr>
                </w:p>
              </w:tc>
              <w:tc>
                <w:tcPr>
                  <w:tcW w:w="1015" w:type="dxa"/>
                  <w:vAlign w:val="center"/>
                </w:tcPr>
                <w:p>
                  <w:pPr>
                    <w:pStyle w:val="88"/>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p>
              </w:tc>
              <w:tc>
                <w:tcPr>
                  <w:tcW w:w="1432" w:type="dxa"/>
                  <w:vAlign w:val="center"/>
                </w:tcPr>
                <w:p>
                  <w:pPr>
                    <w:pStyle w:val="88"/>
                    <w:rPr>
                      <w:rFonts w:ascii="Times New Roman" w:hAnsi="Times New Roman"/>
                      <w:szCs w:val="21"/>
                    </w:rPr>
                  </w:pPr>
                  <w:r>
                    <w:rPr>
                      <w:rFonts w:hint="eastAsia" w:ascii="Times New Roman" w:hAnsi="Times New Roman"/>
                      <w:szCs w:val="21"/>
                    </w:rPr>
                    <w:t>4</w:t>
                  </w:r>
                  <w:r>
                    <w:rPr>
                      <w:rFonts w:ascii="Times New Roman" w:hAnsi="Times New Roman"/>
                      <w:szCs w:val="21"/>
                    </w:rPr>
                    <w:t>.9 kg/h</w:t>
                  </w:r>
                </w:p>
              </w:tc>
              <w:tc>
                <w:tcPr>
                  <w:tcW w:w="2410" w:type="dxa"/>
                  <w:vMerge w:val="continue"/>
                  <w:vAlign w:val="center"/>
                </w:tcPr>
                <w:p>
                  <w:pPr>
                    <w:wordWrap w:val="0"/>
                    <w:snapToGrid w:val="0"/>
                    <w:jc w:val="center"/>
                    <w:rPr>
                      <w:szCs w:val="21"/>
                    </w:rPr>
                  </w:pPr>
                </w:p>
              </w:tc>
              <w:tc>
                <w:tcPr>
                  <w:tcW w:w="1041" w:type="dxa"/>
                  <w:vMerge w:val="continue"/>
                  <w:vAlign w:val="center"/>
                </w:tcPr>
                <w:p>
                  <w:pPr>
                    <w:wordWrap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continue"/>
                  <w:vAlign w:val="center"/>
                </w:tcPr>
                <w:p>
                  <w:pPr>
                    <w:wordWrap w:val="0"/>
                    <w:snapToGrid w:val="0"/>
                    <w:jc w:val="center"/>
                    <w:rPr>
                      <w:szCs w:val="21"/>
                      <w:lang w:val="zh-CN"/>
                    </w:rPr>
                  </w:pPr>
                </w:p>
              </w:tc>
              <w:tc>
                <w:tcPr>
                  <w:tcW w:w="964" w:type="dxa"/>
                  <w:vMerge w:val="continue"/>
                  <w:vAlign w:val="center"/>
                </w:tcPr>
                <w:p>
                  <w:pPr>
                    <w:wordWrap w:val="0"/>
                    <w:snapToGrid w:val="0"/>
                    <w:jc w:val="center"/>
                    <w:rPr>
                      <w:szCs w:val="21"/>
                    </w:rPr>
                  </w:pPr>
                </w:p>
              </w:tc>
              <w:tc>
                <w:tcPr>
                  <w:tcW w:w="671" w:type="dxa"/>
                  <w:vMerge w:val="continue"/>
                  <w:vAlign w:val="center"/>
                </w:tcPr>
                <w:p>
                  <w:pPr>
                    <w:wordWrap w:val="0"/>
                    <w:snapToGrid w:val="0"/>
                    <w:jc w:val="center"/>
                    <w:rPr>
                      <w:szCs w:val="21"/>
                    </w:rPr>
                  </w:pPr>
                </w:p>
              </w:tc>
              <w:tc>
                <w:tcPr>
                  <w:tcW w:w="1015" w:type="dxa"/>
                  <w:vAlign w:val="center"/>
                </w:tcPr>
                <w:p>
                  <w:pPr>
                    <w:pStyle w:val="88"/>
                    <w:rPr>
                      <w:rFonts w:ascii="Times New Roman" w:hAnsi="Times New Roman"/>
                      <w:szCs w:val="21"/>
                    </w:rPr>
                  </w:pPr>
                  <w:r>
                    <w:rPr>
                      <w:rFonts w:ascii="Times New Roman" w:hAnsi="Times New Roman"/>
                      <w:szCs w:val="21"/>
                    </w:rPr>
                    <w:t>臭气浓度</w:t>
                  </w:r>
                </w:p>
              </w:tc>
              <w:tc>
                <w:tcPr>
                  <w:tcW w:w="1432" w:type="dxa"/>
                  <w:vAlign w:val="center"/>
                </w:tcPr>
                <w:p>
                  <w:pPr>
                    <w:pStyle w:val="88"/>
                    <w:rPr>
                      <w:rFonts w:ascii="Times New Roman" w:hAnsi="Times New Roman"/>
                      <w:szCs w:val="21"/>
                    </w:rPr>
                  </w:pPr>
                  <w:r>
                    <w:rPr>
                      <w:rFonts w:hint="eastAsia" w:ascii="Times New Roman" w:hAnsi="Times New Roman"/>
                      <w:szCs w:val="21"/>
                    </w:rPr>
                    <w:t>2</w:t>
                  </w:r>
                  <w:r>
                    <w:rPr>
                      <w:rFonts w:ascii="Times New Roman" w:hAnsi="Times New Roman"/>
                      <w:szCs w:val="21"/>
                    </w:rPr>
                    <w:t>000</w:t>
                  </w:r>
                  <w:r>
                    <w:rPr>
                      <w:rFonts w:hint="eastAsia" w:ascii="Times New Roman" w:hAnsi="Times New Roman"/>
                      <w:szCs w:val="21"/>
                    </w:rPr>
                    <w:t>无量纲</w:t>
                  </w:r>
                </w:p>
              </w:tc>
              <w:tc>
                <w:tcPr>
                  <w:tcW w:w="2410" w:type="dxa"/>
                  <w:vMerge w:val="continue"/>
                  <w:vAlign w:val="center"/>
                </w:tcPr>
                <w:p>
                  <w:pPr>
                    <w:wordWrap w:val="0"/>
                    <w:snapToGrid w:val="0"/>
                    <w:jc w:val="center"/>
                    <w:rPr>
                      <w:szCs w:val="21"/>
                    </w:rPr>
                  </w:pPr>
                </w:p>
              </w:tc>
              <w:tc>
                <w:tcPr>
                  <w:tcW w:w="1041" w:type="dxa"/>
                  <w:vMerge w:val="continue"/>
                  <w:vAlign w:val="center"/>
                </w:tcPr>
                <w:p>
                  <w:pPr>
                    <w:wordWrap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continue"/>
                  <w:vAlign w:val="center"/>
                </w:tcPr>
                <w:p>
                  <w:pPr>
                    <w:wordWrap w:val="0"/>
                    <w:snapToGrid w:val="0"/>
                    <w:jc w:val="center"/>
                    <w:rPr>
                      <w:szCs w:val="21"/>
                      <w:lang w:val="zh-CN"/>
                    </w:rPr>
                  </w:pPr>
                </w:p>
              </w:tc>
              <w:tc>
                <w:tcPr>
                  <w:tcW w:w="964" w:type="dxa"/>
                  <w:vMerge w:val="restart"/>
                  <w:vAlign w:val="center"/>
                </w:tcPr>
                <w:p>
                  <w:pPr>
                    <w:wordWrap w:val="0"/>
                    <w:snapToGrid w:val="0"/>
                    <w:jc w:val="center"/>
                    <w:rPr>
                      <w:szCs w:val="21"/>
                    </w:rPr>
                  </w:pPr>
                  <w:r>
                    <w:rPr>
                      <w:rFonts w:hint="eastAsia"/>
                      <w:szCs w:val="21"/>
                    </w:rPr>
                    <w:t>锅炉废气</w:t>
                  </w:r>
                </w:p>
              </w:tc>
              <w:tc>
                <w:tcPr>
                  <w:tcW w:w="671" w:type="dxa"/>
                  <w:vMerge w:val="restart"/>
                  <w:vAlign w:val="center"/>
                </w:tcPr>
                <w:p>
                  <w:pPr>
                    <w:wordWrap w:val="0"/>
                    <w:snapToGrid w:val="0"/>
                    <w:jc w:val="center"/>
                    <w:rPr>
                      <w:szCs w:val="21"/>
                    </w:rPr>
                  </w:pPr>
                  <w:r>
                    <w:rPr>
                      <w:rFonts w:hint="eastAsia"/>
                      <w:szCs w:val="21"/>
                    </w:rPr>
                    <w:t>有组织</w:t>
                  </w:r>
                </w:p>
              </w:tc>
              <w:tc>
                <w:tcPr>
                  <w:tcW w:w="1015" w:type="dxa"/>
                </w:tcPr>
                <w:p>
                  <w:pPr>
                    <w:pStyle w:val="88"/>
                    <w:rPr>
                      <w:rFonts w:ascii="Times New Roman" w:hAnsi="Times New Roman"/>
                      <w:szCs w:val="21"/>
                    </w:rPr>
                  </w:pPr>
                  <w:r>
                    <w:rPr>
                      <w:rFonts w:ascii="Times New Roman" w:hAnsi="Times New Roman"/>
                    </w:rPr>
                    <w:t>颗粒物</w:t>
                  </w:r>
                </w:p>
              </w:tc>
              <w:tc>
                <w:tcPr>
                  <w:tcW w:w="1432" w:type="dxa"/>
                </w:tcPr>
                <w:p>
                  <w:pPr>
                    <w:pStyle w:val="88"/>
                    <w:rPr>
                      <w:rFonts w:ascii="Times New Roman" w:hAnsi="Times New Roman"/>
                      <w:szCs w:val="21"/>
                    </w:rPr>
                  </w:pPr>
                  <w:r>
                    <w:rPr>
                      <w:rFonts w:ascii="Times New Roman" w:hAnsi="Times New Roman"/>
                    </w:rPr>
                    <w:t>10</w:t>
                  </w:r>
                  <w:r>
                    <w:rPr>
                      <w:rFonts w:ascii="Times New Roman" w:hAnsi="Times New Roman"/>
                      <w:szCs w:val="21"/>
                    </w:rPr>
                    <w:t xml:space="preserve"> mg/m</w:t>
                  </w:r>
                  <w:r>
                    <w:rPr>
                      <w:rFonts w:ascii="Times New Roman" w:hAnsi="Times New Roman"/>
                      <w:szCs w:val="21"/>
                      <w:vertAlign w:val="superscript"/>
                    </w:rPr>
                    <w:t>3</w:t>
                  </w:r>
                </w:p>
              </w:tc>
              <w:tc>
                <w:tcPr>
                  <w:tcW w:w="2410" w:type="dxa"/>
                  <w:vMerge w:val="restart"/>
                  <w:vAlign w:val="center"/>
                </w:tcPr>
                <w:p>
                  <w:pPr>
                    <w:wordWrap w:val="0"/>
                    <w:snapToGrid w:val="0"/>
                    <w:jc w:val="center"/>
                    <w:rPr>
                      <w:szCs w:val="21"/>
                    </w:rPr>
                  </w:pPr>
                  <w:r>
                    <w:rPr>
                      <w:szCs w:val="21"/>
                    </w:rPr>
                    <w:t>《锅炉大气污染物排放标准》（</w:t>
                  </w:r>
                  <w:r>
                    <w:rPr>
                      <w:rFonts w:hint="eastAsia"/>
                      <w:szCs w:val="21"/>
                    </w:rPr>
                    <w:t>DB 61/1226</w:t>
                  </w:r>
                  <w:r>
                    <w:rPr>
                      <w:szCs w:val="21"/>
                    </w:rPr>
                    <w:t>-201</w:t>
                  </w:r>
                  <w:r>
                    <w:rPr>
                      <w:rFonts w:hint="eastAsia"/>
                      <w:szCs w:val="21"/>
                    </w:rPr>
                    <w:t>8</w:t>
                  </w:r>
                  <w:r>
                    <w:rPr>
                      <w:szCs w:val="21"/>
                    </w:rPr>
                    <w:t>）</w:t>
                  </w:r>
                </w:p>
              </w:tc>
              <w:tc>
                <w:tcPr>
                  <w:tcW w:w="1041" w:type="dxa"/>
                  <w:vMerge w:val="restart"/>
                  <w:vAlign w:val="center"/>
                </w:tcPr>
                <w:p>
                  <w:pPr>
                    <w:wordWrap w:val="0"/>
                    <w:snapToGrid w:val="0"/>
                    <w:jc w:val="center"/>
                    <w:rPr>
                      <w:szCs w:val="21"/>
                    </w:rPr>
                  </w:pPr>
                  <w:r>
                    <w:rPr>
                      <w:rFonts w:hint="eastAsia"/>
                      <w:szCs w:val="21"/>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continue"/>
                  <w:vAlign w:val="center"/>
                </w:tcPr>
                <w:p>
                  <w:pPr>
                    <w:wordWrap w:val="0"/>
                    <w:snapToGrid w:val="0"/>
                    <w:jc w:val="center"/>
                    <w:rPr>
                      <w:szCs w:val="21"/>
                      <w:lang w:val="zh-CN"/>
                    </w:rPr>
                  </w:pPr>
                </w:p>
              </w:tc>
              <w:tc>
                <w:tcPr>
                  <w:tcW w:w="964" w:type="dxa"/>
                  <w:vMerge w:val="continue"/>
                  <w:vAlign w:val="center"/>
                </w:tcPr>
                <w:p>
                  <w:pPr>
                    <w:wordWrap w:val="0"/>
                    <w:snapToGrid w:val="0"/>
                    <w:jc w:val="center"/>
                    <w:rPr>
                      <w:szCs w:val="21"/>
                    </w:rPr>
                  </w:pPr>
                </w:p>
              </w:tc>
              <w:tc>
                <w:tcPr>
                  <w:tcW w:w="671" w:type="dxa"/>
                  <w:vMerge w:val="continue"/>
                  <w:vAlign w:val="center"/>
                </w:tcPr>
                <w:p>
                  <w:pPr>
                    <w:wordWrap w:val="0"/>
                    <w:snapToGrid w:val="0"/>
                    <w:jc w:val="center"/>
                    <w:rPr>
                      <w:szCs w:val="21"/>
                    </w:rPr>
                  </w:pPr>
                </w:p>
              </w:tc>
              <w:tc>
                <w:tcPr>
                  <w:tcW w:w="1015" w:type="dxa"/>
                </w:tcPr>
                <w:p>
                  <w:pPr>
                    <w:pStyle w:val="88"/>
                    <w:rPr>
                      <w:rFonts w:ascii="Times New Roman" w:hAnsi="Times New Roman"/>
                      <w:szCs w:val="21"/>
                    </w:rPr>
                  </w:pPr>
                  <w:r>
                    <w:rPr>
                      <w:rFonts w:ascii="Times New Roman" w:hAnsi="Times New Roman"/>
                    </w:rPr>
                    <w:t>二氧化硫</w:t>
                  </w:r>
                </w:p>
              </w:tc>
              <w:tc>
                <w:tcPr>
                  <w:tcW w:w="1432" w:type="dxa"/>
                </w:tcPr>
                <w:p>
                  <w:pPr>
                    <w:pStyle w:val="88"/>
                    <w:rPr>
                      <w:rFonts w:ascii="Times New Roman" w:hAnsi="Times New Roman"/>
                      <w:szCs w:val="21"/>
                    </w:rPr>
                  </w:pPr>
                  <w:r>
                    <w:rPr>
                      <w:rFonts w:ascii="Times New Roman" w:hAnsi="Times New Roman"/>
                    </w:rPr>
                    <w:t>20</w:t>
                  </w:r>
                  <w:r>
                    <w:rPr>
                      <w:rFonts w:ascii="Times New Roman" w:hAnsi="Times New Roman"/>
                      <w:szCs w:val="21"/>
                    </w:rPr>
                    <w:t xml:space="preserve"> mg/m</w:t>
                  </w:r>
                  <w:r>
                    <w:rPr>
                      <w:rFonts w:ascii="Times New Roman" w:hAnsi="Times New Roman"/>
                      <w:szCs w:val="21"/>
                      <w:vertAlign w:val="superscript"/>
                    </w:rPr>
                    <w:t>3</w:t>
                  </w:r>
                </w:p>
              </w:tc>
              <w:tc>
                <w:tcPr>
                  <w:tcW w:w="2410" w:type="dxa"/>
                  <w:vMerge w:val="continue"/>
                  <w:vAlign w:val="center"/>
                </w:tcPr>
                <w:p>
                  <w:pPr>
                    <w:wordWrap w:val="0"/>
                    <w:snapToGrid w:val="0"/>
                    <w:jc w:val="center"/>
                    <w:rPr>
                      <w:szCs w:val="21"/>
                    </w:rPr>
                  </w:pPr>
                </w:p>
              </w:tc>
              <w:tc>
                <w:tcPr>
                  <w:tcW w:w="1041" w:type="dxa"/>
                  <w:vMerge w:val="continue"/>
                  <w:vAlign w:val="center"/>
                </w:tcPr>
                <w:p>
                  <w:pPr>
                    <w:wordWrap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46" w:type="dxa"/>
                  <w:vMerge w:val="continue"/>
                  <w:vAlign w:val="center"/>
                </w:tcPr>
                <w:p>
                  <w:pPr>
                    <w:wordWrap w:val="0"/>
                    <w:snapToGrid w:val="0"/>
                    <w:jc w:val="center"/>
                    <w:rPr>
                      <w:szCs w:val="21"/>
                      <w:lang w:val="zh-CN"/>
                    </w:rPr>
                  </w:pPr>
                </w:p>
              </w:tc>
              <w:tc>
                <w:tcPr>
                  <w:tcW w:w="964" w:type="dxa"/>
                  <w:vMerge w:val="continue"/>
                  <w:vAlign w:val="center"/>
                </w:tcPr>
                <w:p>
                  <w:pPr>
                    <w:wordWrap w:val="0"/>
                    <w:snapToGrid w:val="0"/>
                    <w:jc w:val="center"/>
                    <w:rPr>
                      <w:szCs w:val="21"/>
                    </w:rPr>
                  </w:pPr>
                </w:p>
              </w:tc>
              <w:tc>
                <w:tcPr>
                  <w:tcW w:w="671" w:type="dxa"/>
                  <w:vMerge w:val="continue"/>
                  <w:vAlign w:val="center"/>
                </w:tcPr>
                <w:p>
                  <w:pPr>
                    <w:wordWrap w:val="0"/>
                    <w:snapToGrid w:val="0"/>
                    <w:jc w:val="center"/>
                    <w:rPr>
                      <w:szCs w:val="21"/>
                    </w:rPr>
                  </w:pPr>
                </w:p>
              </w:tc>
              <w:tc>
                <w:tcPr>
                  <w:tcW w:w="1015" w:type="dxa"/>
                </w:tcPr>
                <w:p>
                  <w:pPr>
                    <w:pStyle w:val="88"/>
                    <w:rPr>
                      <w:rFonts w:ascii="Times New Roman" w:hAnsi="Times New Roman"/>
                      <w:szCs w:val="21"/>
                    </w:rPr>
                  </w:pPr>
                  <w:r>
                    <w:rPr>
                      <w:rFonts w:ascii="Times New Roman" w:hAnsi="Times New Roman"/>
                    </w:rPr>
                    <w:t>氮氧化物</w:t>
                  </w:r>
                </w:p>
              </w:tc>
              <w:tc>
                <w:tcPr>
                  <w:tcW w:w="1432" w:type="dxa"/>
                </w:tcPr>
                <w:p>
                  <w:pPr>
                    <w:pStyle w:val="88"/>
                    <w:rPr>
                      <w:rFonts w:ascii="Times New Roman" w:hAnsi="Times New Roman"/>
                      <w:szCs w:val="21"/>
                    </w:rPr>
                  </w:pPr>
                  <w:r>
                    <w:rPr>
                      <w:rFonts w:ascii="Times New Roman" w:hAnsi="Times New Roman"/>
                    </w:rPr>
                    <w:t>50</w:t>
                  </w:r>
                  <w:r>
                    <w:rPr>
                      <w:rFonts w:ascii="Times New Roman" w:hAnsi="Times New Roman"/>
                      <w:szCs w:val="21"/>
                    </w:rPr>
                    <w:t xml:space="preserve"> mg/m</w:t>
                  </w:r>
                  <w:r>
                    <w:rPr>
                      <w:rFonts w:ascii="Times New Roman" w:hAnsi="Times New Roman"/>
                      <w:szCs w:val="21"/>
                      <w:vertAlign w:val="superscript"/>
                    </w:rPr>
                    <w:t>3</w:t>
                  </w:r>
                </w:p>
              </w:tc>
              <w:tc>
                <w:tcPr>
                  <w:tcW w:w="2410" w:type="dxa"/>
                  <w:vMerge w:val="continue"/>
                  <w:vAlign w:val="center"/>
                </w:tcPr>
                <w:p>
                  <w:pPr>
                    <w:wordWrap w:val="0"/>
                    <w:snapToGrid w:val="0"/>
                    <w:jc w:val="center"/>
                    <w:rPr>
                      <w:szCs w:val="21"/>
                    </w:rPr>
                  </w:pPr>
                </w:p>
              </w:tc>
              <w:tc>
                <w:tcPr>
                  <w:tcW w:w="1041" w:type="dxa"/>
                  <w:vMerge w:val="continue"/>
                  <w:vAlign w:val="center"/>
                </w:tcPr>
                <w:p>
                  <w:pPr>
                    <w:wordWrap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8379" w:type="dxa"/>
                  <w:gridSpan w:val="7"/>
                  <w:vAlign w:val="center"/>
                </w:tcPr>
                <w:p>
                  <w:pPr>
                    <w:wordWrap w:val="0"/>
                    <w:snapToGrid w:val="0"/>
                    <w:jc w:val="center"/>
                    <w:rPr>
                      <w:szCs w:val="21"/>
                    </w:rPr>
                  </w:pPr>
                  <w:r>
                    <w:rPr>
                      <w:rFonts w:hint="eastAsia"/>
                      <w:szCs w:val="21"/>
                    </w:rPr>
                    <w:t>注：《锅炉大气污染物排放标准》（G</w:t>
                  </w:r>
                  <w:r>
                    <w:rPr>
                      <w:szCs w:val="21"/>
                    </w:rPr>
                    <w:t>B13271-2014</w:t>
                  </w:r>
                  <w:r>
                    <w:rPr>
                      <w:rFonts w:hint="eastAsia"/>
                      <w:szCs w:val="21"/>
                    </w:rPr>
                    <w:t>）“4</w:t>
                  </w:r>
                  <w:r>
                    <w:rPr>
                      <w:szCs w:val="21"/>
                    </w:rPr>
                    <w:t>.5</w:t>
                  </w:r>
                  <w:r>
                    <w:rPr>
                      <w:rFonts w:hint="eastAsia"/>
                      <w:szCs w:val="21"/>
                    </w:rPr>
                    <w:t>燃气锅炉烟囱不低于8m。新建锅炉房的烟囱周围半径2</w:t>
                  </w:r>
                  <w:r>
                    <w:rPr>
                      <w:szCs w:val="21"/>
                    </w:rPr>
                    <w:t>00</w:t>
                  </w:r>
                  <w:r>
                    <w:rPr>
                      <w:rFonts w:hint="eastAsia"/>
                      <w:szCs w:val="21"/>
                    </w:rPr>
                    <w:t>m距离内有建筑物时，其烟囱应高出最高建筑物</w:t>
                  </w:r>
                  <w:r>
                    <w:rPr>
                      <w:szCs w:val="21"/>
                    </w:rPr>
                    <w:t>3</w:t>
                  </w:r>
                  <w:r>
                    <w:rPr>
                      <w:rFonts w:hint="eastAsia"/>
                      <w:szCs w:val="21"/>
                    </w:rPr>
                    <w:t>m以上”。</w:t>
                  </w:r>
                </w:p>
              </w:tc>
            </w:tr>
          </w:tbl>
          <w:p>
            <w:pPr>
              <w:snapToGrid w:val="0"/>
              <w:jc w:val="center"/>
              <w:rPr>
                <w:b/>
                <w:sz w:val="24"/>
                <w:lang w:val="zh-CN"/>
              </w:rPr>
            </w:pPr>
            <w:r>
              <w:rPr>
                <w:b/>
                <w:sz w:val="24"/>
                <w:lang w:val="zh-CN"/>
              </w:rPr>
              <w:t>表</w:t>
            </w:r>
            <w:r>
              <w:rPr>
                <w:b/>
                <w:sz w:val="24"/>
              </w:rPr>
              <w:t xml:space="preserve">3-6  </w:t>
            </w:r>
            <w:r>
              <w:rPr>
                <w:b/>
                <w:sz w:val="24"/>
                <w:lang w:val="zh-CN"/>
              </w:rPr>
              <w:t xml:space="preserve"> </w:t>
            </w:r>
            <w:r>
              <w:rPr>
                <w:rFonts w:hint="eastAsia"/>
                <w:b/>
                <w:bCs/>
                <w:sz w:val="24"/>
              </w:rPr>
              <w:t>饮食业油烟</w:t>
            </w:r>
            <w:r>
              <w:rPr>
                <w:b/>
                <w:bCs/>
                <w:sz w:val="24"/>
              </w:rPr>
              <w:t>排放标准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5"/>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8" w:type="pct"/>
                  <w:vAlign w:val="center"/>
                </w:tcPr>
                <w:p>
                  <w:pPr>
                    <w:snapToGrid w:val="0"/>
                    <w:jc w:val="center"/>
                    <w:rPr>
                      <w:b/>
                      <w:bCs/>
                      <w:szCs w:val="21"/>
                    </w:rPr>
                  </w:pPr>
                  <w:r>
                    <w:rPr>
                      <w:rFonts w:hint="eastAsia"/>
                      <w:b/>
                      <w:bCs/>
                      <w:szCs w:val="21"/>
                    </w:rPr>
                    <w:t>饮食业单位规模</w:t>
                  </w:r>
                </w:p>
              </w:tc>
              <w:tc>
                <w:tcPr>
                  <w:tcW w:w="2312" w:type="pct"/>
                  <w:vAlign w:val="center"/>
                </w:tcPr>
                <w:p>
                  <w:pPr>
                    <w:snapToGrid w:val="0"/>
                    <w:jc w:val="center"/>
                    <w:rPr>
                      <w:b/>
                      <w:bCs/>
                      <w:szCs w:val="21"/>
                    </w:rPr>
                  </w:pPr>
                  <w:r>
                    <w:rPr>
                      <w:rFonts w:hint="eastAsia"/>
                      <w:b/>
                      <w:bCs/>
                      <w:szCs w:val="21"/>
                    </w:rPr>
                    <w:t>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8" w:type="pct"/>
                  <w:vAlign w:val="center"/>
                </w:tcPr>
                <w:p>
                  <w:pPr>
                    <w:snapToGrid w:val="0"/>
                    <w:jc w:val="center"/>
                    <w:rPr>
                      <w:szCs w:val="21"/>
                    </w:rPr>
                  </w:pPr>
                  <w:r>
                    <w:rPr>
                      <w:rFonts w:hint="eastAsia"/>
                      <w:szCs w:val="21"/>
                    </w:rPr>
                    <w:t>基准灶头数</w:t>
                  </w:r>
                </w:p>
              </w:tc>
              <w:tc>
                <w:tcPr>
                  <w:tcW w:w="2312" w:type="pct"/>
                  <w:vAlign w:val="center"/>
                </w:tcPr>
                <w:p>
                  <w:pPr>
                    <w:snapToGrid w:val="0"/>
                    <w:jc w:val="center"/>
                    <w:rPr>
                      <w:szCs w:val="21"/>
                    </w:rPr>
                  </w:pPr>
                  <w:r>
                    <w:rPr>
                      <w:rFonts w:hint="eastAsia"/>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8" w:type="pct"/>
                  <w:vAlign w:val="center"/>
                </w:tcPr>
                <w:p>
                  <w:pPr>
                    <w:snapToGrid w:val="0"/>
                    <w:jc w:val="center"/>
                    <w:rPr>
                      <w:szCs w:val="21"/>
                    </w:rPr>
                  </w:pPr>
                  <w:r>
                    <w:rPr>
                      <w:rFonts w:hint="eastAsia"/>
                      <w:szCs w:val="21"/>
                    </w:rPr>
                    <w:t>油烟最高允许排放浓度（m</w:t>
                  </w:r>
                  <w:r>
                    <w:rPr>
                      <w:szCs w:val="21"/>
                    </w:rPr>
                    <w:t>g/m3</w:t>
                  </w:r>
                  <w:r>
                    <w:rPr>
                      <w:rFonts w:hint="eastAsia"/>
                      <w:szCs w:val="21"/>
                    </w:rPr>
                    <w:t>）</w:t>
                  </w:r>
                </w:p>
              </w:tc>
              <w:tc>
                <w:tcPr>
                  <w:tcW w:w="2312" w:type="pct"/>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8" w:type="pct"/>
                  <w:vAlign w:val="center"/>
                </w:tcPr>
                <w:p>
                  <w:pPr>
                    <w:snapToGrid w:val="0"/>
                    <w:jc w:val="center"/>
                    <w:rPr>
                      <w:szCs w:val="21"/>
                    </w:rPr>
                  </w:pPr>
                  <w:r>
                    <w:rPr>
                      <w:rFonts w:hint="eastAsia"/>
                      <w:szCs w:val="21"/>
                    </w:rPr>
                    <w:t>净化设施最低去除率（%）</w:t>
                  </w:r>
                </w:p>
              </w:tc>
              <w:tc>
                <w:tcPr>
                  <w:tcW w:w="2312" w:type="pct"/>
                  <w:vAlign w:val="center"/>
                </w:tcPr>
                <w:p>
                  <w:pPr>
                    <w:snapToGrid w:val="0"/>
                    <w:jc w:val="center"/>
                    <w:rPr>
                      <w:szCs w:val="21"/>
                    </w:rPr>
                  </w:pPr>
                  <w:r>
                    <w:rPr>
                      <w:rFonts w:hint="eastAsia"/>
                      <w:szCs w:val="21"/>
                    </w:rPr>
                    <w:t>75</w:t>
                  </w:r>
                </w:p>
              </w:tc>
            </w:tr>
          </w:tbl>
          <w:p>
            <w:pPr>
              <w:spacing w:line="360" w:lineRule="auto"/>
              <w:ind w:firstLine="480" w:firstLineChars="200"/>
              <w:rPr>
                <w:sz w:val="24"/>
              </w:rPr>
            </w:pPr>
            <w:r>
              <w:rPr>
                <w:sz w:val="24"/>
              </w:rPr>
              <w:t>（2）施工期噪声排放执行《建筑施工场界环境噪声排放标准》（GB12523-2011）中有关规定；</w:t>
            </w:r>
            <w:r>
              <w:rPr>
                <w:rFonts w:hint="eastAsia"/>
                <w:sz w:val="24"/>
              </w:rPr>
              <w:t>运营期</w:t>
            </w:r>
            <w:r>
              <w:rPr>
                <w:sz w:val="24"/>
              </w:rPr>
              <w:t>厂界噪声排放执行</w:t>
            </w:r>
            <w:r>
              <w:rPr>
                <w:rFonts w:hint="eastAsia"/>
                <w:sz w:val="24"/>
              </w:rPr>
              <w:t>《工业企业厂界环境噪声排放标准》（GB</w:t>
            </w:r>
            <w:r>
              <w:rPr>
                <w:sz w:val="24"/>
              </w:rPr>
              <w:t>12348</w:t>
            </w:r>
            <w:r>
              <w:rPr>
                <w:rFonts w:hint="eastAsia"/>
                <w:sz w:val="24"/>
              </w:rPr>
              <w:t xml:space="preserve">-2008）2类标准。 </w:t>
            </w:r>
            <w:r>
              <w:rPr>
                <w:sz w:val="24"/>
              </w:rPr>
              <w:t xml:space="preserve"> </w:t>
            </w:r>
          </w:p>
          <w:p>
            <w:pPr>
              <w:snapToGrid w:val="0"/>
              <w:jc w:val="center"/>
              <w:rPr>
                <w:b/>
                <w:bCs/>
                <w:sz w:val="24"/>
              </w:rPr>
            </w:pPr>
            <w:r>
              <w:rPr>
                <w:b/>
                <w:bCs/>
                <w:sz w:val="24"/>
              </w:rPr>
              <w:t>表3-7    噪声排放标准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896"/>
              <w:gridCol w:w="1660"/>
              <w:gridCol w:w="1261"/>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66" w:type="pct"/>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snapToGrid w:val="0"/>
                    <w:jc w:val="center"/>
                    <w:rPr>
                      <w:b/>
                      <w:bCs/>
                      <w:szCs w:val="21"/>
                    </w:rPr>
                  </w:pPr>
                  <w:r>
                    <w:rPr>
                      <w:b/>
                      <w:bCs/>
                      <w:szCs w:val="21"/>
                    </w:rPr>
                    <w:t>标准名称</w:t>
                  </w:r>
                </w:p>
              </w:tc>
              <w:tc>
                <w:tcPr>
                  <w:tcW w:w="535" w:type="pct"/>
                  <w:vMerge w:val="restart"/>
                  <w:tcBorders>
                    <w:top w:val="single" w:color="auto" w:sz="4" w:space="0"/>
                    <w:left w:val="nil"/>
                    <w:right w:val="single" w:color="auto" w:sz="4" w:space="0"/>
                  </w:tcBorders>
                  <w:tcMar>
                    <w:top w:w="0" w:type="dxa"/>
                    <w:left w:w="0" w:type="dxa"/>
                    <w:bottom w:w="0" w:type="dxa"/>
                    <w:right w:w="0" w:type="dxa"/>
                  </w:tcMar>
                  <w:vAlign w:val="center"/>
                </w:tcPr>
                <w:p>
                  <w:pPr>
                    <w:snapToGrid w:val="0"/>
                    <w:jc w:val="center"/>
                    <w:rPr>
                      <w:b/>
                      <w:bCs/>
                      <w:szCs w:val="21"/>
                    </w:rPr>
                  </w:pPr>
                  <w:r>
                    <w:rPr>
                      <w:b/>
                      <w:bCs/>
                      <w:szCs w:val="21"/>
                    </w:rPr>
                    <w:t>级别</w:t>
                  </w:r>
                </w:p>
              </w:tc>
              <w:tc>
                <w:tcPr>
                  <w:tcW w:w="991" w:type="pct"/>
                  <w:vMerge w:val="restart"/>
                  <w:tcBorders>
                    <w:top w:val="single" w:color="auto" w:sz="4" w:space="0"/>
                    <w:left w:val="nil"/>
                    <w:right w:val="single" w:color="auto" w:sz="4" w:space="0"/>
                  </w:tcBorders>
                  <w:tcMar>
                    <w:top w:w="0" w:type="dxa"/>
                    <w:left w:w="0" w:type="dxa"/>
                    <w:bottom w:w="0" w:type="dxa"/>
                    <w:right w:w="0" w:type="dxa"/>
                  </w:tcMar>
                  <w:vAlign w:val="center"/>
                </w:tcPr>
                <w:p>
                  <w:pPr>
                    <w:snapToGrid w:val="0"/>
                    <w:jc w:val="center"/>
                    <w:rPr>
                      <w:b/>
                      <w:bCs/>
                      <w:szCs w:val="21"/>
                    </w:rPr>
                  </w:pPr>
                  <w:r>
                    <w:rPr>
                      <w:b/>
                      <w:bCs/>
                      <w:szCs w:val="21"/>
                    </w:rPr>
                    <w:t>项目</w:t>
                  </w:r>
                </w:p>
              </w:tc>
              <w:tc>
                <w:tcPr>
                  <w:tcW w:w="1508" w:type="pct"/>
                  <w:gridSpan w:val="2"/>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b/>
                      <w:bCs/>
                      <w:szCs w:val="21"/>
                    </w:rPr>
                  </w:pPr>
                  <w:r>
                    <w:rPr>
                      <w:b/>
                      <w:bCs/>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66" w:type="pct"/>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pPr>
                </w:p>
              </w:tc>
              <w:tc>
                <w:tcPr>
                  <w:tcW w:w="535" w:type="pct"/>
                  <w:vMerge w:val="continue"/>
                  <w:tcBorders>
                    <w:left w:val="nil"/>
                    <w:bottom w:val="single" w:color="auto" w:sz="4" w:space="0"/>
                    <w:right w:val="single" w:color="auto" w:sz="4" w:space="0"/>
                  </w:tcBorders>
                  <w:tcMar>
                    <w:top w:w="0" w:type="dxa"/>
                    <w:left w:w="0" w:type="dxa"/>
                    <w:bottom w:w="0" w:type="dxa"/>
                    <w:right w:w="0" w:type="dxa"/>
                  </w:tcMar>
                  <w:vAlign w:val="center"/>
                </w:tcPr>
                <w:p>
                  <w:pPr>
                    <w:snapToGrid w:val="0"/>
                    <w:jc w:val="center"/>
                  </w:pPr>
                </w:p>
              </w:tc>
              <w:tc>
                <w:tcPr>
                  <w:tcW w:w="991" w:type="pct"/>
                  <w:vMerge w:val="continue"/>
                  <w:tcBorders>
                    <w:left w:val="nil"/>
                    <w:bottom w:val="single" w:color="auto" w:sz="4" w:space="0"/>
                    <w:right w:val="single" w:color="auto" w:sz="4" w:space="0"/>
                  </w:tcBorders>
                  <w:tcMar>
                    <w:top w:w="0" w:type="dxa"/>
                    <w:left w:w="0" w:type="dxa"/>
                    <w:bottom w:w="0" w:type="dxa"/>
                    <w:right w:w="0" w:type="dxa"/>
                  </w:tcMar>
                  <w:vAlign w:val="center"/>
                </w:tcPr>
                <w:p>
                  <w:pPr>
                    <w:snapToGrid w:val="0"/>
                    <w:jc w:val="center"/>
                  </w:pPr>
                </w:p>
              </w:tc>
              <w:tc>
                <w:tcPr>
                  <w:tcW w:w="753"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b/>
                      <w:bCs/>
                    </w:rPr>
                  </w:pPr>
                  <w:r>
                    <w:rPr>
                      <w:b/>
                      <w:bCs/>
                      <w:szCs w:val="21"/>
                    </w:rPr>
                    <w:t>昼间</w:t>
                  </w:r>
                </w:p>
              </w:tc>
              <w:tc>
                <w:tcPr>
                  <w:tcW w:w="755"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b/>
                      <w:bCs/>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ind w:left="-63" w:leftChars="-30" w:right="-63" w:rightChars="-30"/>
                    <w:jc w:val="center"/>
                    <w:rPr>
                      <w:bCs/>
                      <w:szCs w:val="21"/>
                    </w:rPr>
                  </w:pPr>
                  <w:r>
                    <w:rPr>
                      <w:rFonts w:hint="eastAsia"/>
                      <w:bCs/>
                      <w:szCs w:val="21"/>
                    </w:rPr>
                    <w:t>《</w:t>
                  </w:r>
                  <w:r>
                    <w:rPr>
                      <w:bCs/>
                      <w:szCs w:val="21"/>
                    </w:rPr>
                    <w:t>建筑施工场界环境噪声排放标准》</w:t>
                  </w:r>
                </w:p>
                <w:p>
                  <w:pPr>
                    <w:adjustRightInd w:val="0"/>
                    <w:snapToGrid w:val="0"/>
                    <w:jc w:val="center"/>
                    <w:rPr>
                      <w:b/>
                      <w:bCs/>
                      <w:szCs w:val="32"/>
                    </w:rPr>
                  </w:pPr>
                  <w:r>
                    <w:rPr>
                      <w:bCs/>
                      <w:szCs w:val="21"/>
                    </w:rPr>
                    <w:t>（GB12523-2011）</w:t>
                  </w:r>
                </w:p>
              </w:tc>
              <w:tc>
                <w:tcPr>
                  <w:tcW w:w="535"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adjustRightInd w:val="0"/>
                    <w:snapToGrid w:val="0"/>
                    <w:jc w:val="center"/>
                    <w:rPr>
                      <w:b/>
                      <w:bCs/>
                      <w:szCs w:val="32"/>
                    </w:rPr>
                  </w:pPr>
                  <w:r>
                    <w:rPr>
                      <w:b/>
                      <w:bCs/>
                      <w:szCs w:val="32"/>
                    </w:rPr>
                    <w:t>/</w:t>
                  </w:r>
                </w:p>
              </w:tc>
              <w:tc>
                <w:tcPr>
                  <w:tcW w:w="991"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adjustRightInd w:val="0"/>
                    <w:snapToGrid w:val="0"/>
                    <w:jc w:val="center"/>
                    <w:rPr>
                      <w:b/>
                      <w:bCs/>
                      <w:kern w:val="0"/>
                      <w:szCs w:val="32"/>
                    </w:rPr>
                  </w:pPr>
                  <w:r>
                    <w:rPr>
                      <w:bCs/>
                      <w:szCs w:val="21"/>
                    </w:rPr>
                    <w:t>等效声级L</w:t>
                  </w:r>
                  <w:r>
                    <w:rPr>
                      <w:bCs/>
                      <w:szCs w:val="21"/>
                      <w:vertAlign w:val="subscript"/>
                    </w:rPr>
                    <w:t>eq</w:t>
                  </w:r>
                </w:p>
              </w:tc>
              <w:tc>
                <w:tcPr>
                  <w:tcW w:w="753"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szCs w:val="21"/>
                    </w:rPr>
                  </w:pPr>
                  <w:r>
                    <w:rPr>
                      <w:szCs w:val="21"/>
                    </w:rPr>
                    <w:t>70</w:t>
                  </w:r>
                </w:p>
              </w:tc>
              <w:tc>
                <w:tcPr>
                  <w:tcW w:w="755"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szCs w:val="21"/>
                    </w:rPr>
                  </w:pPr>
                  <w:r>
                    <w:rPr>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66" w:type="pct"/>
                  <w:tcBorders>
                    <w:top w:val="single" w:color="auto" w:sz="4" w:space="0"/>
                    <w:left w:val="single" w:color="auto" w:sz="4" w:space="0"/>
                    <w:right w:val="single" w:color="auto" w:sz="4" w:space="0"/>
                  </w:tcBorders>
                  <w:tcMar>
                    <w:top w:w="0" w:type="dxa"/>
                    <w:left w:w="0" w:type="dxa"/>
                    <w:bottom w:w="0" w:type="dxa"/>
                    <w:right w:w="0" w:type="dxa"/>
                  </w:tcMar>
                  <w:vAlign w:val="center"/>
                </w:tcPr>
                <w:p>
                  <w:pPr>
                    <w:snapToGrid w:val="0"/>
                    <w:jc w:val="center"/>
                    <w:rPr>
                      <w:b/>
                      <w:bCs/>
                      <w:szCs w:val="21"/>
                    </w:rPr>
                  </w:pPr>
                  <w:r>
                    <w:rPr>
                      <w:rFonts w:hint="eastAsia"/>
                      <w:szCs w:val="21"/>
                    </w:rPr>
                    <w:t>《工业企业厂界环境噪声排放标准》（GB</w:t>
                  </w:r>
                  <w:r>
                    <w:rPr>
                      <w:szCs w:val="21"/>
                    </w:rPr>
                    <w:t>12348</w:t>
                  </w:r>
                  <w:r>
                    <w:rPr>
                      <w:rFonts w:hint="eastAsia"/>
                      <w:szCs w:val="21"/>
                    </w:rPr>
                    <w:t>-2008）</w:t>
                  </w:r>
                </w:p>
              </w:tc>
              <w:tc>
                <w:tcPr>
                  <w:tcW w:w="535"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bCs/>
                      <w:szCs w:val="21"/>
                    </w:rPr>
                  </w:pPr>
                  <w:r>
                    <w:rPr>
                      <w:bCs/>
                      <w:szCs w:val="21"/>
                    </w:rPr>
                    <w:t>2类</w:t>
                  </w:r>
                </w:p>
              </w:tc>
              <w:tc>
                <w:tcPr>
                  <w:tcW w:w="991"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b/>
                      <w:bCs/>
                      <w:szCs w:val="21"/>
                    </w:rPr>
                  </w:pPr>
                  <w:r>
                    <w:rPr>
                      <w:szCs w:val="21"/>
                    </w:rPr>
                    <w:t>等效声级L</w:t>
                  </w:r>
                  <w:r>
                    <w:rPr>
                      <w:szCs w:val="21"/>
                      <w:vertAlign w:val="subscript"/>
                    </w:rPr>
                    <w:t>eq</w:t>
                  </w:r>
                </w:p>
              </w:tc>
              <w:tc>
                <w:tcPr>
                  <w:tcW w:w="753"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napToGrid w:val="0"/>
                    <w:jc w:val="center"/>
                    <w:rPr>
                      <w:szCs w:val="21"/>
                    </w:rPr>
                  </w:pPr>
                  <w:r>
                    <w:rPr>
                      <w:szCs w:val="21"/>
                    </w:rPr>
                    <w:t>60</w:t>
                  </w:r>
                </w:p>
              </w:tc>
              <w:tc>
                <w:tcPr>
                  <w:tcW w:w="755" w:type="pct"/>
                  <w:tcBorders>
                    <w:top w:val="single" w:color="auto" w:sz="4" w:space="0"/>
                    <w:left w:val="nil"/>
                    <w:bottom w:val="single" w:color="auto" w:sz="4" w:space="0"/>
                    <w:right w:val="single" w:color="auto" w:sz="4" w:space="0"/>
                  </w:tcBorders>
                  <w:vAlign w:val="center"/>
                </w:tcPr>
                <w:p>
                  <w:pPr>
                    <w:snapToGrid w:val="0"/>
                    <w:jc w:val="center"/>
                    <w:rPr>
                      <w:szCs w:val="21"/>
                    </w:rPr>
                  </w:pPr>
                  <w:r>
                    <w:rPr>
                      <w:szCs w:val="21"/>
                    </w:rPr>
                    <w:t>50</w:t>
                  </w:r>
                </w:p>
              </w:tc>
            </w:tr>
          </w:tbl>
          <w:p>
            <w:pPr>
              <w:spacing w:line="360" w:lineRule="auto"/>
              <w:ind w:firstLine="480" w:firstLineChars="200"/>
              <w:rPr>
                <w:sz w:val="24"/>
              </w:rPr>
            </w:pPr>
            <w:r>
              <w:rPr>
                <w:sz w:val="24"/>
              </w:rPr>
              <w:t>（</w:t>
            </w:r>
            <w:r>
              <w:rPr>
                <w:rFonts w:hint="eastAsia"/>
                <w:sz w:val="24"/>
              </w:rPr>
              <w:t>3</w:t>
            </w:r>
            <w:r>
              <w:rPr>
                <w:sz w:val="24"/>
              </w:rPr>
              <w:t>）</w:t>
            </w:r>
            <w:r>
              <w:rPr>
                <w:rFonts w:hint="eastAsia"/>
                <w:sz w:val="24"/>
              </w:rPr>
              <w:t>运营期废水排放执行</w:t>
            </w:r>
            <w:bookmarkStart w:id="11" w:name="_Hlk142818348"/>
            <w:r>
              <w:rPr>
                <w:rFonts w:hint="eastAsia"/>
                <w:sz w:val="24"/>
              </w:rPr>
              <w:t>《医疗机构水污染物排放标准》（GB18466-2005）</w:t>
            </w:r>
            <w:bookmarkEnd w:id="11"/>
            <w:r>
              <w:rPr>
                <w:rFonts w:hint="eastAsia"/>
                <w:sz w:val="24"/>
              </w:rPr>
              <w:t>中表2预处理标准和《污水排入城镇下水道水质标准》（GB/T31962-2015）</w:t>
            </w:r>
            <w:r>
              <w:rPr>
                <w:sz w:val="24"/>
              </w:rPr>
              <w:t>B</w:t>
            </w:r>
            <w:r>
              <w:rPr>
                <w:rFonts w:hint="eastAsia"/>
                <w:sz w:val="24"/>
              </w:rPr>
              <w:t>级标准。</w:t>
            </w:r>
          </w:p>
          <w:p>
            <w:pPr>
              <w:jc w:val="center"/>
              <w:rPr>
                <w:rFonts w:cs="Courier New"/>
                <w:b/>
                <w:bCs/>
                <w:sz w:val="24"/>
              </w:rPr>
            </w:pPr>
            <w:r>
              <w:rPr>
                <w:rFonts w:hint="eastAsia" w:cs="Courier New"/>
                <w:b/>
                <w:bCs/>
                <w:sz w:val="24"/>
                <w:lang w:bidi="ar"/>
              </w:rPr>
              <w:t>表</w:t>
            </w:r>
            <w:r>
              <w:rPr>
                <w:rFonts w:cs="Courier New"/>
                <w:b/>
                <w:bCs/>
                <w:sz w:val="24"/>
                <w:lang w:bidi="ar"/>
              </w:rPr>
              <w:t xml:space="preserve">3-8    </w:t>
            </w:r>
            <w:r>
              <w:rPr>
                <w:rFonts w:hint="eastAsia" w:cs="Courier New"/>
                <w:b/>
                <w:bCs/>
                <w:sz w:val="24"/>
                <w:lang w:bidi="ar"/>
              </w:rPr>
              <w:t>废水排放标准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542"/>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tcMar>
                    <w:left w:w="28" w:type="dxa"/>
                    <w:right w:w="28" w:type="dxa"/>
                  </w:tcMar>
                  <w:vAlign w:val="center"/>
                </w:tcPr>
                <w:p>
                  <w:pPr>
                    <w:spacing w:line="320" w:lineRule="exact"/>
                    <w:jc w:val="center"/>
                    <w:rPr>
                      <w:b/>
                      <w:szCs w:val="21"/>
                    </w:rPr>
                  </w:pPr>
                  <w:r>
                    <w:rPr>
                      <w:rFonts w:hint="eastAsia" w:cs="宋体"/>
                      <w:b/>
                      <w:szCs w:val="21"/>
                      <w:lang w:bidi="ar"/>
                    </w:rPr>
                    <w:t>类别</w:t>
                  </w:r>
                </w:p>
              </w:tc>
              <w:tc>
                <w:tcPr>
                  <w:tcW w:w="1517" w:type="pct"/>
                  <w:tcMar>
                    <w:left w:w="28" w:type="dxa"/>
                    <w:right w:w="28" w:type="dxa"/>
                  </w:tcMar>
                  <w:vAlign w:val="center"/>
                </w:tcPr>
                <w:p>
                  <w:pPr>
                    <w:spacing w:line="320" w:lineRule="exact"/>
                    <w:jc w:val="center"/>
                    <w:rPr>
                      <w:b/>
                      <w:szCs w:val="21"/>
                    </w:rPr>
                  </w:pPr>
                  <w:r>
                    <w:rPr>
                      <w:rFonts w:hint="eastAsia" w:cs="宋体"/>
                      <w:b/>
                      <w:szCs w:val="21"/>
                      <w:lang w:bidi="ar"/>
                    </w:rPr>
                    <w:t>污染物</w:t>
                  </w:r>
                </w:p>
              </w:tc>
              <w:tc>
                <w:tcPr>
                  <w:tcW w:w="1787" w:type="pct"/>
                  <w:tcMar>
                    <w:left w:w="28" w:type="dxa"/>
                    <w:right w:w="28" w:type="dxa"/>
                  </w:tcMar>
                  <w:vAlign w:val="center"/>
                </w:tcPr>
                <w:p>
                  <w:pPr>
                    <w:spacing w:line="320" w:lineRule="exact"/>
                    <w:jc w:val="center"/>
                    <w:rPr>
                      <w:b/>
                      <w:szCs w:val="21"/>
                    </w:rPr>
                  </w:pPr>
                  <w:r>
                    <w:rPr>
                      <w:rFonts w:hint="eastAsia" w:cs="宋体"/>
                      <w:b/>
                      <w:szCs w:val="21"/>
                      <w:lang w:bidi="ar"/>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restart"/>
                  <w:tcMar>
                    <w:left w:w="28" w:type="dxa"/>
                    <w:right w:w="28" w:type="dxa"/>
                  </w:tcMar>
                  <w:vAlign w:val="center"/>
                </w:tcPr>
                <w:p>
                  <w:pPr>
                    <w:spacing w:line="320" w:lineRule="exact"/>
                    <w:jc w:val="center"/>
                    <w:rPr>
                      <w:bCs/>
                      <w:szCs w:val="21"/>
                    </w:rPr>
                  </w:pPr>
                  <w:r>
                    <w:rPr>
                      <w:rFonts w:hint="eastAsia" w:cs="宋体"/>
                      <w:bCs/>
                      <w:szCs w:val="21"/>
                      <w:lang w:bidi="ar"/>
                    </w:rPr>
                    <w:t>《医疗机构水污染物排放标准》（</w:t>
                  </w:r>
                  <w:r>
                    <w:rPr>
                      <w:bCs/>
                      <w:szCs w:val="21"/>
                      <w:lang w:bidi="ar"/>
                    </w:rPr>
                    <w:t>GB18466-2005</w:t>
                  </w:r>
                  <w:r>
                    <w:rPr>
                      <w:rFonts w:hint="eastAsia" w:cs="宋体"/>
                      <w:bCs/>
                      <w:szCs w:val="21"/>
                      <w:lang w:bidi="ar"/>
                    </w:rPr>
                    <w:t>）预处理标准</w:t>
                  </w:r>
                </w:p>
              </w:tc>
              <w:tc>
                <w:tcPr>
                  <w:tcW w:w="1517" w:type="pct"/>
                  <w:tcMar>
                    <w:left w:w="28" w:type="dxa"/>
                    <w:right w:w="28" w:type="dxa"/>
                  </w:tcMar>
                  <w:vAlign w:val="center"/>
                </w:tcPr>
                <w:p>
                  <w:pPr>
                    <w:spacing w:line="320" w:lineRule="exact"/>
                    <w:jc w:val="center"/>
                    <w:rPr>
                      <w:bCs/>
                      <w:szCs w:val="21"/>
                    </w:rPr>
                  </w:pPr>
                  <w:r>
                    <w:rPr>
                      <w:bCs/>
                      <w:szCs w:val="21"/>
                      <w:lang w:bidi="ar"/>
                    </w:rPr>
                    <w:t>COD</w:t>
                  </w:r>
                  <w:r>
                    <w:rPr>
                      <w:rFonts w:hint="eastAsia" w:cs="宋体"/>
                      <w:bCs/>
                      <w:szCs w:val="21"/>
                      <w:lang w:bidi="ar"/>
                    </w:rPr>
                    <w:t>（</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continue"/>
                  <w:tcMar>
                    <w:left w:w="28" w:type="dxa"/>
                    <w:right w:w="28" w:type="dxa"/>
                  </w:tcMar>
                  <w:vAlign w:val="center"/>
                </w:tcPr>
                <w:p>
                  <w:pPr>
                    <w:rPr>
                      <w:szCs w:val="22"/>
                    </w:rPr>
                  </w:pPr>
                </w:p>
              </w:tc>
              <w:tc>
                <w:tcPr>
                  <w:tcW w:w="1517" w:type="pct"/>
                  <w:tcMar>
                    <w:left w:w="28" w:type="dxa"/>
                    <w:right w:w="28" w:type="dxa"/>
                  </w:tcMar>
                  <w:vAlign w:val="center"/>
                </w:tcPr>
                <w:p>
                  <w:pPr>
                    <w:spacing w:line="320" w:lineRule="exact"/>
                    <w:jc w:val="center"/>
                    <w:rPr>
                      <w:bCs/>
                      <w:szCs w:val="21"/>
                    </w:rPr>
                  </w:pPr>
                  <w:r>
                    <w:rPr>
                      <w:bCs/>
                      <w:szCs w:val="21"/>
                      <w:lang w:bidi="ar"/>
                    </w:rPr>
                    <w:t>BOD</w:t>
                  </w:r>
                  <w:r>
                    <w:rPr>
                      <w:bCs/>
                      <w:szCs w:val="21"/>
                      <w:vertAlign w:val="subscript"/>
                      <w:lang w:bidi="ar"/>
                    </w:rPr>
                    <w:t>5</w:t>
                  </w:r>
                  <w:r>
                    <w:rPr>
                      <w:rFonts w:hint="eastAsia" w:cs="宋体"/>
                      <w:bCs/>
                      <w:szCs w:val="21"/>
                      <w:lang w:bidi="ar"/>
                    </w:rPr>
                    <w:t>（</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continue"/>
                  <w:tcMar>
                    <w:left w:w="28" w:type="dxa"/>
                    <w:right w:w="28" w:type="dxa"/>
                  </w:tcMar>
                  <w:vAlign w:val="center"/>
                </w:tcPr>
                <w:p>
                  <w:pPr>
                    <w:rPr>
                      <w:szCs w:val="22"/>
                    </w:rPr>
                  </w:pPr>
                </w:p>
              </w:tc>
              <w:tc>
                <w:tcPr>
                  <w:tcW w:w="1517" w:type="pct"/>
                  <w:tcMar>
                    <w:left w:w="28" w:type="dxa"/>
                    <w:right w:w="28" w:type="dxa"/>
                  </w:tcMar>
                  <w:vAlign w:val="center"/>
                </w:tcPr>
                <w:p>
                  <w:pPr>
                    <w:spacing w:line="320" w:lineRule="exact"/>
                    <w:jc w:val="center"/>
                    <w:rPr>
                      <w:bCs/>
                      <w:szCs w:val="21"/>
                    </w:rPr>
                  </w:pPr>
                  <w:r>
                    <w:rPr>
                      <w:bCs/>
                      <w:szCs w:val="21"/>
                      <w:lang w:bidi="ar"/>
                    </w:rPr>
                    <w:t>SS</w:t>
                  </w:r>
                  <w:r>
                    <w:rPr>
                      <w:rFonts w:hint="eastAsia" w:cs="宋体"/>
                      <w:bCs/>
                      <w:szCs w:val="21"/>
                      <w:lang w:bidi="ar"/>
                    </w:rPr>
                    <w:t>（</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continue"/>
                  <w:tcMar>
                    <w:left w:w="28" w:type="dxa"/>
                    <w:right w:w="28" w:type="dxa"/>
                  </w:tcMar>
                  <w:vAlign w:val="center"/>
                </w:tcPr>
                <w:p>
                  <w:pPr>
                    <w:rPr>
                      <w:szCs w:val="22"/>
                    </w:rPr>
                  </w:pPr>
                </w:p>
              </w:tc>
              <w:tc>
                <w:tcPr>
                  <w:tcW w:w="1517" w:type="pct"/>
                  <w:tcMar>
                    <w:left w:w="28" w:type="dxa"/>
                    <w:right w:w="28" w:type="dxa"/>
                  </w:tcMar>
                  <w:vAlign w:val="center"/>
                </w:tcPr>
                <w:p>
                  <w:pPr>
                    <w:spacing w:line="320" w:lineRule="exact"/>
                    <w:jc w:val="center"/>
                    <w:rPr>
                      <w:bCs/>
                      <w:szCs w:val="21"/>
                    </w:rPr>
                  </w:pPr>
                  <w:r>
                    <w:rPr>
                      <w:rFonts w:hint="eastAsia" w:cs="宋体"/>
                      <w:bCs/>
                      <w:szCs w:val="21"/>
                      <w:lang w:bidi="ar"/>
                    </w:rPr>
                    <w:t>粪大肠菌群数（</w:t>
                  </w:r>
                  <w:r>
                    <w:rPr>
                      <w:bCs/>
                      <w:szCs w:val="21"/>
                      <w:lang w:bidi="ar"/>
                    </w:rPr>
                    <w:t>MPN/L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restart"/>
                  <w:tcMar>
                    <w:left w:w="28" w:type="dxa"/>
                    <w:right w:w="28" w:type="dxa"/>
                  </w:tcMar>
                  <w:vAlign w:val="center"/>
                </w:tcPr>
                <w:p>
                  <w:pPr>
                    <w:spacing w:line="320" w:lineRule="exact"/>
                    <w:jc w:val="center"/>
                    <w:rPr>
                      <w:bCs/>
                      <w:szCs w:val="21"/>
                    </w:rPr>
                  </w:pPr>
                  <w:r>
                    <w:rPr>
                      <w:rFonts w:hint="eastAsia" w:cs="宋体"/>
                      <w:bCs/>
                      <w:szCs w:val="21"/>
                      <w:lang w:bidi="ar"/>
                    </w:rPr>
                    <w:t>《污水排入城镇下水道水质标准》（</w:t>
                  </w:r>
                  <w:r>
                    <w:rPr>
                      <w:bCs/>
                      <w:szCs w:val="21"/>
                      <w:lang w:bidi="ar"/>
                    </w:rPr>
                    <w:t>GB/T31962-2015</w:t>
                  </w:r>
                  <w:r>
                    <w:rPr>
                      <w:rFonts w:hint="eastAsia" w:cs="宋体"/>
                      <w:bCs/>
                      <w:szCs w:val="21"/>
                      <w:lang w:bidi="ar"/>
                    </w:rPr>
                    <w:t>）中</w:t>
                  </w:r>
                  <w:r>
                    <w:rPr>
                      <w:bCs/>
                      <w:szCs w:val="21"/>
                      <w:lang w:bidi="ar"/>
                    </w:rPr>
                    <w:t>B</w:t>
                  </w:r>
                  <w:r>
                    <w:rPr>
                      <w:rFonts w:hint="eastAsia" w:cs="宋体"/>
                      <w:bCs/>
                      <w:szCs w:val="21"/>
                      <w:lang w:bidi="ar"/>
                    </w:rPr>
                    <w:t>级标准</w:t>
                  </w:r>
                </w:p>
              </w:tc>
              <w:tc>
                <w:tcPr>
                  <w:tcW w:w="1517" w:type="pct"/>
                  <w:tcMar>
                    <w:left w:w="28" w:type="dxa"/>
                    <w:right w:w="28" w:type="dxa"/>
                  </w:tcMar>
                  <w:vAlign w:val="center"/>
                </w:tcPr>
                <w:p>
                  <w:pPr>
                    <w:spacing w:line="320" w:lineRule="exact"/>
                    <w:jc w:val="center"/>
                    <w:rPr>
                      <w:bCs/>
                      <w:szCs w:val="21"/>
                    </w:rPr>
                  </w:pPr>
                  <w:r>
                    <w:rPr>
                      <w:rFonts w:hint="eastAsia" w:cs="宋体"/>
                      <w:bCs/>
                      <w:szCs w:val="21"/>
                      <w:lang w:bidi="ar"/>
                    </w:rPr>
                    <w:t>氨氮（</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continue"/>
                  <w:tcMar>
                    <w:left w:w="28" w:type="dxa"/>
                    <w:right w:w="28" w:type="dxa"/>
                  </w:tcMar>
                  <w:vAlign w:val="center"/>
                </w:tcPr>
                <w:p>
                  <w:pPr>
                    <w:rPr>
                      <w:szCs w:val="22"/>
                    </w:rPr>
                  </w:pPr>
                </w:p>
              </w:tc>
              <w:tc>
                <w:tcPr>
                  <w:tcW w:w="1517" w:type="pct"/>
                  <w:tcMar>
                    <w:left w:w="28" w:type="dxa"/>
                    <w:right w:w="28" w:type="dxa"/>
                  </w:tcMar>
                  <w:vAlign w:val="center"/>
                </w:tcPr>
                <w:p>
                  <w:pPr>
                    <w:spacing w:line="320" w:lineRule="exact"/>
                    <w:jc w:val="center"/>
                    <w:rPr>
                      <w:bCs/>
                      <w:szCs w:val="21"/>
                    </w:rPr>
                  </w:pPr>
                  <w:r>
                    <w:rPr>
                      <w:rFonts w:hint="eastAsia" w:cs="宋体"/>
                      <w:bCs/>
                      <w:szCs w:val="21"/>
                      <w:lang w:bidi="ar"/>
                    </w:rPr>
                    <w:t>总氮（</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5" w:type="pct"/>
                  <w:vMerge w:val="continue"/>
                  <w:tcMar>
                    <w:left w:w="28" w:type="dxa"/>
                    <w:right w:w="28" w:type="dxa"/>
                  </w:tcMar>
                  <w:vAlign w:val="center"/>
                </w:tcPr>
                <w:p>
                  <w:pPr>
                    <w:rPr>
                      <w:szCs w:val="22"/>
                    </w:rPr>
                  </w:pPr>
                </w:p>
              </w:tc>
              <w:tc>
                <w:tcPr>
                  <w:tcW w:w="1517" w:type="pct"/>
                  <w:tcMar>
                    <w:left w:w="28" w:type="dxa"/>
                    <w:right w:w="28" w:type="dxa"/>
                  </w:tcMar>
                  <w:vAlign w:val="center"/>
                </w:tcPr>
                <w:p>
                  <w:pPr>
                    <w:spacing w:line="320" w:lineRule="exact"/>
                    <w:jc w:val="center"/>
                    <w:rPr>
                      <w:bCs/>
                      <w:szCs w:val="21"/>
                    </w:rPr>
                  </w:pPr>
                  <w:r>
                    <w:rPr>
                      <w:rFonts w:hint="eastAsia" w:cs="宋体"/>
                      <w:bCs/>
                      <w:szCs w:val="21"/>
                      <w:lang w:bidi="ar"/>
                    </w:rPr>
                    <w:t>总磷（</w:t>
                  </w:r>
                  <w:r>
                    <w:rPr>
                      <w:bCs/>
                      <w:szCs w:val="21"/>
                      <w:lang w:bidi="ar"/>
                    </w:rPr>
                    <w:t>mg/L</w:t>
                  </w:r>
                  <w:r>
                    <w:rPr>
                      <w:rFonts w:hint="eastAsia" w:cs="宋体"/>
                      <w:bCs/>
                      <w:szCs w:val="21"/>
                      <w:lang w:bidi="ar"/>
                    </w:rPr>
                    <w:t>）</w:t>
                  </w:r>
                </w:p>
              </w:tc>
              <w:tc>
                <w:tcPr>
                  <w:tcW w:w="1787" w:type="pct"/>
                  <w:tcMar>
                    <w:left w:w="28" w:type="dxa"/>
                    <w:right w:w="28" w:type="dxa"/>
                  </w:tcMar>
                  <w:vAlign w:val="center"/>
                </w:tcPr>
                <w:p>
                  <w:pPr>
                    <w:spacing w:line="320" w:lineRule="exact"/>
                    <w:jc w:val="center"/>
                    <w:rPr>
                      <w:bCs/>
                      <w:szCs w:val="21"/>
                    </w:rPr>
                  </w:pPr>
                  <w:r>
                    <w:rPr>
                      <w:bCs/>
                      <w:szCs w:val="21"/>
                      <w:lang w:bidi="ar"/>
                    </w:rPr>
                    <w:t>8</w:t>
                  </w:r>
                </w:p>
              </w:tc>
            </w:tr>
          </w:tbl>
          <w:p>
            <w:pPr>
              <w:spacing w:line="360" w:lineRule="auto"/>
              <w:ind w:firstLine="480" w:firstLineChars="200"/>
              <w:rPr>
                <w:sz w:val="24"/>
              </w:rPr>
            </w:pPr>
            <w:r>
              <w:rPr>
                <w:rFonts w:hint="eastAsia"/>
                <w:sz w:val="24"/>
              </w:rPr>
              <w:t>（4）</w:t>
            </w:r>
            <w:r>
              <w:rPr>
                <w:sz w:val="24"/>
              </w:rPr>
              <w:t>一般固体废物排放执行《一般工业固体废物贮存和填埋污染控制标准》（GB 18599-2020）中有关要求</w:t>
            </w:r>
            <w:r>
              <w:rPr>
                <w:rFonts w:hint="eastAsia"/>
                <w:sz w:val="24"/>
              </w:rPr>
              <w:t>；医疗废物执行《医疗卫生机构医疗废物管理办法》和《危险废物贮存污染控制标准》（GB18597-2023）中的有关要求；废水处理装置污泥执行《医疗机构水污染物排放标准》（GB18446-2005）中的医疗机构污泥控制标准。</w:t>
            </w:r>
          </w:p>
          <w:p>
            <w:pPr>
              <w:jc w:val="center"/>
              <w:rPr>
                <w:rFonts w:cs="Courier New"/>
                <w:b/>
                <w:bCs/>
                <w:sz w:val="24"/>
              </w:rPr>
            </w:pPr>
            <w:r>
              <w:rPr>
                <w:rFonts w:hint="eastAsia" w:cs="Courier New"/>
                <w:b/>
                <w:bCs/>
                <w:sz w:val="24"/>
                <w:lang w:bidi="ar"/>
              </w:rPr>
              <w:t>表</w:t>
            </w:r>
            <w:r>
              <w:rPr>
                <w:rFonts w:cs="Courier New"/>
                <w:b/>
                <w:bCs/>
                <w:sz w:val="24"/>
                <w:lang w:bidi="ar"/>
              </w:rPr>
              <w:t xml:space="preserve">3-9  </w:t>
            </w:r>
            <w:r>
              <w:rPr>
                <w:rFonts w:hint="eastAsia" w:cs="Courier New"/>
                <w:b/>
                <w:bCs/>
                <w:sz w:val="24"/>
                <w:lang w:bidi="ar"/>
              </w:rPr>
              <w:t>医疗机构水污染物排放标准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542"/>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1695" w:type="pct"/>
                  <w:tcMar>
                    <w:left w:w="28" w:type="dxa"/>
                    <w:right w:w="28" w:type="dxa"/>
                  </w:tcMar>
                  <w:vAlign w:val="center"/>
                </w:tcPr>
                <w:p>
                  <w:pPr>
                    <w:spacing w:line="320" w:lineRule="exact"/>
                    <w:jc w:val="center"/>
                    <w:rPr>
                      <w:b/>
                      <w:szCs w:val="21"/>
                    </w:rPr>
                  </w:pPr>
                  <w:r>
                    <w:rPr>
                      <w:b/>
                      <w:szCs w:val="21"/>
                      <w:lang w:bidi="ar"/>
                    </w:rPr>
                    <w:t>医疗机构类别</w:t>
                  </w:r>
                </w:p>
              </w:tc>
              <w:tc>
                <w:tcPr>
                  <w:tcW w:w="1517" w:type="pct"/>
                  <w:tcMar>
                    <w:left w:w="28" w:type="dxa"/>
                    <w:right w:w="28" w:type="dxa"/>
                  </w:tcMar>
                  <w:vAlign w:val="center"/>
                </w:tcPr>
                <w:p>
                  <w:pPr>
                    <w:spacing w:line="320" w:lineRule="exact"/>
                    <w:jc w:val="center"/>
                    <w:rPr>
                      <w:b/>
                      <w:szCs w:val="21"/>
                    </w:rPr>
                  </w:pPr>
                  <w:r>
                    <w:rPr>
                      <w:b/>
                      <w:szCs w:val="21"/>
                      <w:lang w:bidi="ar"/>
                    </w:rPr>
                    <w:t>粪大肠菌群数/（MPN/g）</w:t>
                  </w:r>
                </w:p>
              </w:tc>
              <w:tc>
                <w:tcPr>
                  <w:tcW w:w="1787" w:type="pct"/>
                  <w:tcMar>
                    <w:left w:w="28" w:type="dxa"/>
                    <w:right w:w="28" w:type="dxa"/>
                  </w:tcMar>
                  <w:vAlign w:val="center"/>
                </w:tcPr>
                <w:p>
                  <w:pPr>
                    <w:spacing w:line="320" w:lineRule="exact"/>
                    <w:jc w:val="center"/>
                    <w:rPr>
                      <w:b/>
                      <w:szCs w:val="21"/>
                    </w:rPr>
                  </w:pPr>
                  <w:r>
                    <w:rPr>
                      <w:b/>
                      <w:szCs w:val="21"/>
                      <w:lang w:bidi="ar"/>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5" w:type="pct"/>
                  <w:tcMar>
                    <w:left w:w="28" w:type="dxa"/>
                    <w:right w:w="28" w:type="dxa"/>
                  </w:tcMar>
                  <w:vAlign w:val="center"/>
                </w:tcPr>
                <w:p>
                  <w:pPr>
                    <w:spacing w:line="320" w:lineRule="exact"/>
                    <w:jc w:val="center"/>
                    <w:rPr>
                      <w:bCs/>
                      <w:szCs w:val="21"/>
                    </w:rPr>
                  </w:pPr>
                  <w:r>
                    <w:rPr>
                      <w:bCs/>
                      <w:szCs w:val="21"/>
                      <w:lang w:bidi="ar"/>
                    </w:rPr>
                    <w:t>综合医院机构和其他医疗机构</w:t>
                  </w:r>
                </w:p>
              </w:tc>
              <w:tc>
                <w:tcPr>
                  <w:tcW w:w="1517" w:type="pct"/>
                  <w:tcMar>
                    <w:left w:w="28" w:type="dxa"/>
                    <w:right w:w="28" w:type="dxa"/>
                  </w:tcMar>
                  <w:vAlign w:val="center"/>
                </w:tcPr>
                <w:p>
                  <w:pPr>
                    <w:spacing w:line="320" w:lineRule="exact"/>
                    <w:jc w:val="center"/>
                    <w:rPr>
                      <w:bCs/>
                      <w:szCs w:val="21"/>
                    </w:rPr>
                  </w:pPr>
                  <w:r>
                    <w:rPr>
                      <w:bCs/>
                      <w:szCs w:val="21"/>
                    </w:rPr>
                    <w:t>≤100</w:t>
                  </w:r>
                </w:p>
              </w:tc>
              <w:tc>
                <w:tcPr>
                  <w:tcW w:w="1787" w:type="pct"/>
                  <w:tcMar>
                    <w:left w:w="28" w:type="dxa"/>
                    <w:right w:w="28" w:type="dxa"/>
                  </w:tcMar>
                  <w:vAlign w:val="center"/>
                </w:tcPr>
                <w:p>
                  <w:pPr>
                    <w:spacing w:line="320" w:lineRule="exact"/>
                    <w:jc w:val="center"/>
                    <w:rPr>
                      <w:bCs/>
                      <w:szCs w:val="21"/>
                    </w:rPr>
                  </w:pPr>
                  <w:r>
                    <w:rPr>
                      <w:bCs/>
                      <w:szCs w:val="21"/>
                      <w:lang w:bidi="ar"/>
                    </w:rPr>
                    <w:t>&gt;95</w:t>
                  </w:r>
                </w:p>
              </w:tc>
            </w:tr>
          </w:tbl>
          <w:p>
            <w:pPr>
              <w:spacing w:line="360" w:lineRule="auto"/>
              <w:ind w:firstLine="480" w:firstLineChars="200"/>
              <w:rPr>
                <w:kern w:val="0"/>
                <w:szCs w:val="21"/>
              </w:rPr>
            </w:pPr>
            <w:r>
              <w:rPr>
                <w:sz w:val="24"/>
              </w:rPr>
              <w:t>其他要素，按国家有关规定要求进行。</w:t>
            </w:r>
            <w:r>
              <w:rPr>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0" w:hRule="atLeast"/>
          <w:jc w:val="center"/>
        </w:trPr>
        <w:tc>
          <w:tcPr>
            <w:tcW w:w="456" w:type="dxa"/>
            <w:vAlign w:val="center"/>
          </w:tcPr>
          <w:p>
            <w:pPr>
              <w:adjustRightInd w:val="0"/>
              <w:snapToGrid w:val="0"/>
              <w:jc w:val="center"/>
              <w:rPr>
                <w:kern w:val="0"/>
                <w:sz w:val="24"/>
              </w:rPr>
            </w:pPr>
            <w:r>
              <w:rPr>
                <w:kern w:val="0"/>
                <w:sz w:val="24"/>
              </w:rPr>
              <w:t>总量</w:t>
            </w:r>
          </w:p>
          <w:p>
            <w:pPr>
              <w:adjustRightInd w:val="0"/>
              <w:snapToGrid w:val="0"/>
              <w:jc w:val="center"/>
              <w:rPr>
                <w:kern w:val="0"/>
                <w:sz w:val="24"/>
              </w:rPr>
            </w:pPr>
            <w:r>
              <w:rPr>
                <w:kern w:val="0"/>
                <w:sz w:val="24"/>
              </w:rPr>
              <w:t>控制</w:t>
            </w:r>
          </w:p>
          <w:p>
            <w:pPr>
              <w:adjustRightInd w:val="0"/>
              <w:snapToGrid w:val="0"/>
              <w:jc w:val="center"/>
              <w:rPr>
                <w:kern w:val="0"/>
                <w:sz w:val="24"/>
              </w:rPr>
            </w:pPr>
            <w:r>
              <w:rPr>
                <w:kern w:val="0"/>
                <w:sz w:val="24"/>
              </w:rPr>
              <w:t>指标</w:t>
            </w:r>
          </w:p>
        </w:tc>
        <w:tc>
          <w:tcPr>
            <w:tcW w:w="8605" w:type="dxa"/>
            <w:vAlign w:val="center"/>
          </w:tcPr>
          <w:p>
            <w:pPr>
              <w:spacing w:line="360" w:lineRule="auto"/>
              <w:ind w:firstLine="480" w:firstLineChars="200"/>
              <w:rPr>
                <w:sz w:val="24"/>
                <w:lang w:bidi="ar"/>
              </w:rPr>
            </w:pPr>
            <w:r>
              <w:rPr>
                <w:kern w:val="0"/>
                <w:sz w:val="24"/>
              </w:rPr>
              <w:t>本项目废水最终排入污水处理厂处理达标排放。</w:t>
            </w:r>
            <w:r>
              <w:rPr>
                <w:sz w:val="24"/>
                <w:lang w:bidi="ar"/>
              </w:rPr>
              <w:t>因此本项目建议总量控制指标为氮氧化物和二氧化硫，排放量分别为0.055t/a和0.036t/a。</w:t>
            </w:r>
          </w:p>
          <w:p>
            <w:pPr>
              <w:spacing w:line="360" w:lineRule="auto"/>
              <w:ind w:firstLine="480" w:firstLineChars="200"/>
              <w:rPr>
                <w:sz w:val="24"/>
                <w:lang w:bidi="ar"/>
              </w:rPr>
            </w:pPr>
            <w:r>
              <w:rPr>
                <w:sz w:val="24"/>
                <w:lang w:bidi="ar"/>
              </w:rPr>
              <w:t>具体根据当地环保部门的总量控制要求进行</w:t>
            </w:r>
            <w:r>
              <w:rPr>
                <w:rFonts w:hint="eastAsia"/>
                <w:sz w:val="24"/>
                <w:lang w:bidi="ar"/>
              </w:rPr>
              <w:t>。</w:t>
            </w:r>
          </w:p>
        </w:tc>
      </w:tr>
    </w:tbl>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3"/>
        <w:gridCol w:w="8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96" w:hRule="atLeast"/>
          <w:jc w:val="center"/>
        </w:trPr>
        <w:tc>
          <w:tcPr>
            <w:tcW w:w="265" w:type="pct"/>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19"/>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4734" w:type="pct"/>
            <w:vAlign w:val="center"/>
          </w:tcPr>
          <w:p>
            <w:pPr>
              <w:keepNext/>
              <w:keepLines/>
              <w:spacing w:line="360" w:lineRule="auto"/>
              <w:ind w:firstLine="482" w:firstLineChars="200"/>
              <w:jc w:val="left"/>
              <w:rPr>
                <w:b/>
                <w:kern w:val="0"/>
                <w:sz w:val="24"/>
                <w:szCs w:val="20"/>
                <w:lang w:bidi="ar"/>
              </w:rPr>
            </w:pPr>
            <w:r>
              <w:rPr>
                <w:b/>
                <w:kern w:val="0"/>
                <w:sz w:val="24"/>
                <w:szCs w:val="20"/>
                <w:lang w:bidi="ar"/>
              </w:rPr>
              <w:t>1、施工</w:t>
            </w:r>
            <w:r>
              <w:rPr>
                <w:rFonts w:hint="eastAsia"/>
                <w:b/>
                <w:kern w:val="0"/>
                <w:sz w:val="24"/>
                <w:szCs w:val="20"/>
                <w:lang w:bidi="ar"/>
              </w:rPr>
              <w:t>扬尘污染防治措施：</w:t>
            </w:r>
          </w:p>
          <w:p>
            <w:pPr>
              <w:pStyle w:val="3"/>
              <w:ind w:firstLine="480" w:firstLineChars="200"/>
              <w:rPr>
                <w:rFonts w:ascii="Times New Roman" w:hAnsi="Times New Roman"/>
                <w:b w:val="0"/>
                <w:bCs w:val="0"/>
                <w:szCs w:val="24"/>
              </w:rPr>
            </w:pPr>
            <w:r>
              <w:rPr>
                <w:rFonts w:hint="eastAsia" w:ascii="Times New Roman" w:hAnsi="Times New Roman"/>
                <w:b w:val="0"/>
                <w:bCs w:val="0"/>
                <w:szCs w:val="24"/>
              </w:rPr>
              <w:t>为减少施工扬尘对环境的影响，环评要求建设单位在施工期间应当按照</w:t>
            </w:r>
            <w:r>
              <w:rPr>
                <w:rFonts w:ascii="Times New Roman" w:hAnsi="Times New Roman"/>
                <w:b w:val="0"/>
                <w:bCs w:val="0"/>
                <w:szCs w:val="24"/>
              </w:rPr>
              <w:t>《陕西省大气污染防治条例》（2019修正）</w:t>
            </w:r>
            <w:r>
              <w:rPr>
                <w:rFonts w:hint="eastAsia" w:ascii="Times New Roman" w:hAnsi="Times New Roman"/>
                <w:b w:val="0"/>
                <w:bCs w:val="0"/>
                <w:szCs w:val="24"/>
              </w:rPr>
              <w:t>、</w:t>
            </w:r>
            <w:r>
              <w:rPr>
                <w:rFonts w:ascii="Times New Roman" w:hAnsi="Times New Roman"/>
                <w:b w:val="0"/>
                <w:bCs w:val="0"/>
                <w:szCs w:val="24"/>
              </w:rPr>
              <w:t>《陕西省大气污染</w:t>
            </w:r>
            <w:r>
              <w:rPr>
                <w:rFonts w:hint="eastAsia" w:ascii="Times New Roman" w:hAnsi="Times New Roman"/>
                <w:b w:val="0"/>
                <w:bCs w:val="0"/>
                <w:szCs w:val="24"/>
              </w:rPr>
              <w:t>治理专项行动方案</w:t>
            </w:r>
            <w:r>
              <w:rPr>
                <w:rFonts w:ascii="Times New Roman" w:hAnsi="Times New Roman"/>
                <w:b w:val="0"/>
                <w:bCs w:val="0"/>
                <w:szCs w:val="24"/>
              </w:rPr>
              <w:t>》</w:t>
            </w:r>
            <w:r>
              <w:rPr>
                <w:rFonts w:hint="eastAsia" w:ascii="Times New Roman" w:hAnsi="Times New Roman"/>
                <w:b w:val="0"/>
                <w:bCs w:val="0"/>
                <w:szCs w:val="24"/>
              </w:rPr>
              <w:t>（2023-2027）、陕西省建筑施工扬尘治理措施1</w:t>
            </w:r>
            <w:r>
              <w:rPr>
                <w:rFonts w:ascii="Times New Roman" w:hAnsi="Times New Roman"/>
                <w:b w:val="0"/>
                <w:bCs w:val="0"/>
                <w:szCs w:val="24"/>
              </w:rPr>
              <w:t>6</w:t>
            </w:r>
            <w:r>
              <w:rPr>
                <w:rFonts w:hint="eastAsia" w:ascii="Times New Roman" w:hAnsi="Times New Roman"/>
                <w:b w:val="0"/>
                <w:bCs w:val="0"/>
                <w:szCs w:val="24"/>
              </w:rPr>
              <w:t>条及工地扬尘治理的“六个</w:t>
            </w:r>
            <w:r>
              <w:rPr>
                <w:rFonts w:ascii="Times New Roman" w:hAnsi="Times New Roman"/>
                <w:b w:val="0"/>
                <w:bCs w:val="0"/>
                <w:szCs w:val="24"/>
              </w:rPr>
              <w:t>100%”</w:t>
            </w:r>
            <w:r>
              <w:rPr>
                <w:rFonts w:hint="eastAsia" w:ascii="Times New Roman" w:hAnsi="Times New Roman"/>
                <w:b w:val="0"/>
                <w:bCs w:val="0"/>
                <w:szCs w:val="24"/>
              </w:rPr>
              <w:t>相关要求要求、《</w:t>
            </w:r>
            <w:r>
              <w:rPr>
                <w:rFonts w:ascii="Times New Roman" w:hAnsi="Times New Roman"/>
                <w:b w:val="0"/>
                <w:bCs w:val="0"/>
                <w:szCs w:val="24"/>
              </w:rPr>
              <w:t>关于修订“禁土令”并强化建筑工地施工扬尘管控的通知》（陕建发【2019】1234号）</w:t>
            </w:r>
            <w:r>
              <w:rPr>
                <w:rFonts w:hint="eastAsia" w:ascii="Times New Roman" w:hAnsi="Times New Roman"/>
                <w:b w:val="0"/>
                <w:bCs w:val="0"/>
                <w:szCs w:val="24"/>
              </w:rPr>
              <w:t>、</w:t>
            </w:r>
            <w:r>
              <w:rPr>
                <w:rFonts w:ascii="Times New Roman" w:hAnsi="Times New Roman"/>
                <w:b w:val="0"/>
                <w:bCs w:val="0"/>
                <w:szCs w:val="24"/>
              </w:rPr>
              <w:t>《榆林市2023年生态环境保护三十项攻坚行动方案》（榆办字〔2023〕33号）等相关规定</w:t>
            </w:r>
            <w:r>
              <w:rPr>
                <w:rFonts w:hint="eastAsia" w:ascii="Times New Roman" w:hAnsi="Times New Roman"/>
                <w:b w:val="0"/>
                <w:bCs w:val="0"/>
                <w:szCs w:val="24"/>
              </w:rPr>
              <w:t>要求进行施工</w:t>
            </w:r>
            <w:r>
              <w:rPr>
                <w:rFonts w:ascii="Times New Roman" w:hAnsi="Times New Roman"/>
                <w:b w:val="0"/>
                <w:bCs w:val="0"/>
                <w:szCs w:val="24"/>
              </w:rPr>
              <w:t>，施工</w:t>
            </w:r>
            <w:r>
              <w:rPr>
                <w:rFonts w:hint="eastAsia" w:ascii="Times New Roman" w:hAnsi="Times New Roman"/>
                <w:b w:val="0"/>
                <w:bCs w:val="0"/>
                <w:szCs w:val="24"/>
              </w:rPr>
              <w:t>期采取的具体措施要求如下</w:t>
            </w:r>
            <w:r>
              <w:rPr>
                <w:rFonts w:ascii="Times New Roman" w:hAnsi="Times New Roman"/>
                <w:b w:val="0"/>
                <w:bCs w:val="0"/>
                <w:szCs w:val="24"/>
              </w:rPr>
              <w:t>：</w:t>
            </w:r>
          </w:p>
          <w:p>
            <w:pPr>
              <w:pStyle w:val="3"/>
              <w:ind w:firstLine="480" w:firstLineChars="200"/>
              <w:rPr>
                <w:rFonts w:ascii="Times New Roman" w:hAnsi="Times New Roman"/>
                <w:b w:val="0"/>
                <w:bCs w:val="0"/>
                <w:szCs w:val="24"/>
              </w:rPr>
            </w:pPr>
            <w:r>
              <w:rPr>
                <w:rFonts w:ascii="Times New Roman" w:hAnsi="Times New Roman"/>
                <w:b w:val="0"/>
                <w:bCs w:val="0"/>
                <w:szCs w:val="24"/>
              </w:rPr>
              <w:fldChar w:fldCharType="begin"/>
            </w:r>
            <w:r>
              <w:rPr>
                <w:rFonts w:ascii="Times New Roman" w:hAnsi="Times New Roman"/>
                <w:b w:val="0"/>
                <w:bCs w:val="0"/>
                <w:szCs w:val="24"/>
              </w:rPr>
              <w:instrText xml:space="preserve">= 1 \* GB3</w:instrText>
            </w:r>
            <w:r>
              <w:rPr>
                <w:rFonts w:ascii="Times New Roman" w:hAnsi="Times New Roman"/>
                <w:b w:val="0"/>
                <w:bCs w:val="0"/>
                <w:szCs w:val="24"/>
              </w:rPr>
              <w:fldChar w:fldCharType="separate"/>
            </w:r>
            <w:r>
              <w:rPr>
                <w:rFonts w:hint="eastAsia" w:ascii="宋体" w:hAnsi="宋体" w:cs="宋体"/>
                <w:b w:val="0"/>
                <w:bCs w:val="0"/>
                <w:szCs w:val="24"/>
              </w:rPr>
              <w:t>①</w:t>
            </w:r>
            <w:r>
              <w:rPr>
                <w:rFonts w:ascii="Times New Roman" w:hAnsi="Times New Roman"/>
                <w:b w:val="0"/>
                <w:bCs w:val="0"/>
                <w:szCs w:val="24"/>
              </w:rPr>
              <w:fldChar w:fldCharType="end"/>
            </w:r>
            <w:r>
              <w:rPr>
                <w:rFonts w:ascii="Times New Roman" w:hAnsi="Times New Roman"/>
                <w:b w:val="0"/>
                <w:bCs w:val="0"/>
                <w:szCs w:val="24"/>
              </w:rPr>
              <w:t>严格</w:t>
            </w:r>
            <w:r>
              <w:rPr>
                <w:rFonts w:hint="eastAsia" w:ascii="Times New Roman" w:hAnsi="Times New Roman"/>
                <w:b w:val="0"/>
                <w:bCs w:val="0"/>
                <w:szCs w:val="24"/>
              </w:rPr>
              <w:t>落实施工工地扬尘围挡、覆盖、冲洗、硬化、密闭、洒水“6</w:t>
            </w:r>
            <w:r>
              <w:rPr>
                <w:rFonts w:ascii="Times New Roman" w:hAnsi="Times New Roman"/>
                <w:b w:val="0"/>
                <w:bCs w:val="0"/>
                <w:szCs w:val="24"/>
              </w:rPr>
              <w:t>个</w:t>
            </w:r>
            <w:r>
              <w:rPr>
                <w:rFonts w:hint="eastAsia" w:ascii="Times New Roman" w:hAnsi="Times New Roman"/>
                <w:b w:val="0"/>
                <w:bCs w:val="0"/>
                <w:szCs w:val="24"/>
              </w:rPr>
              <w:t>1</w:t>
            </w:r>
            <w:r>
              <w:rPr>
                <w:rFonts w:ascii="Times New Roman" w:hAnsi="Times New Roman"/>
                <w:b w:val="0"/>
                <w:bCs w:val="0"/>
                <w:szCs w:val="24"/>
              </w:rPr>
              <w:t>00%</w:t>
            </w:r>
            <w:r>
              <w:rPr>
                <w:rFonts w:hint="eastAsia" w:ascii="Times New Roman" w:hAnsi="Times New Roman"/>
                <w:b w:val="0"/>
                <w:bCs w:val="0"/>
                <w:szCs w:val="24"/>
              </w:rPr>
              <w:t>”</w:t>
            </w:r>
            <w:r>
              <w:rPr>
                <w:rFonts w:ascii="Times New Roman" w:hAnsi="Times New Roman"/>
                <w:b w:val="0"/>
                <w:bCs w:val="0"/>
                <w:szCs w:val="24"/>
              </w:rPr>
              <w:t>。</w:t>
            </w:r>
          </w:p>
          <w:p>
            <w:pPr>
              <w:pStyle w:val="3"/>
              <w:ind w:firstLine="480" w:firstLineChars="200"/>
              <w:rPr>
                <w:rFonts w:ascii="Times New Roman" w:hAnsi="Times New Roman"/>
                <w:b w:val="0"/>
                <w:bCs w:val="0"/>
                <w:szCs w:val="24"/>
              </w:rPr>
            </w:pPr>
            <w:r>
              <w:rPr>
                <w:rFonts w:ascii="Times New Roman" w:hAnsi="Times New Roman"/>
                <w:b w:val="0"/>
                <w:bCs w:val="0"/>
                <w:szCs w:val="24"/>
              </w:rPr>
              <w:fldChar w:fldCharType="begin"/>
            </w:r>
            <w:r>
              <w:rPr>
                <w:rFonts w:ascii="Times New Roman" w:hAnsi="Times New Roman"/>
                <w:b w:val="0"/>
                <w:bCs w:val="0"/>
                <w:szCs w:val="24"/>
              </w:rPr>
              <w:instrText xml:space="preserve">= 2 \* GB3</w:instrText>
            </w:r>
            <w:r>
              <w:rPr>
                <w:rFonts w:ascii="Times New Roman" w:hAnsi="Times New Roman"/>
                <w:b w:val="0"/>
                <w:bCs w:val="0"/>
                <w:szCs w:val="24"/>
              </w:rPr>
              <w:fldChar w:fldCharType="separate"/>
            </w:r>
            <w:r>
              <w:rPr>
                <w:rFonts w:hint="eastAsia" w:ascii="宋体" w:hAnsi="宋体" w:cs="宋体"/>
                <w:b w:val="0"/>
                <w:bCs w:val="0"/>
                <w:szCs w:val="24"/>
              </w:rPr>
              <w:t>②</w:t>
            </w:r>
            <w:r>
              <w:rPr>
                <w:rFonts w:ascii="Times New Roman" w:hAnsi="Times New Roman"/>
                <w:b w:val="0"/>
                <w:bCs w:val="0"/>
                <w:szCs w:val="24"/>
              </w:rPr>
              <w:fldChar w:fldCharType="end"/>
            </w:r>
            <w:r>
              <w:rPr>
                <w:rFonts w:ascii="Times New Roman" w:hAnsi="Times New Roman"/>
                <w:b w:val="0"/>
                <w:bCs w:val="0"/>
                <w:szCs w:val="24"/>
              </w:rPr>
              <w:t>施工场地可视化，安装视频监控设施监控堆场扬尘。</w:t>
            </w:r>
          </w:p>
          <w:p>
            <w:pPr>
              <w:pStyle w:val="3"/>
              <w:ind w:firstLine="480" w:firstLineChars="200"/>
              <w:rPr>
                <w:rFonts w:ascii="Times New Roman" w:hAnsi="Times New Roman"/>
                <w:b w:val="0"/>
                <w:bCs w:val="0"/>
                <w:szCs w:val="24"/>
              </w:rPr>
            </w:pPr>
            <w:r>
              <w:rPr>
                <w:rFonts w:hint="eastAsia" w:ascii="宋体" w:hAnsi="宋体" w:cs="宋体"/>
                <w:b w:val="0"/>
                <w:bCs w:val="0"/>
                <w:szCs w:val="24"/>
              </w:rPr>
              <w:t>③</w:t>
            </w:r>
            <w:r>
              <w:rPr>
                <w:rFonts w:hint="eastAsia" w:ascii="Times New Roman" w:hAnsi="Times New Roman"/>
                <w:b w:val="0"/>
                <w:bCs w:val="0"/>
                <w:szCs w:val="24"/>
              </w:rPr>
              <w:t>施工</w:t>
            </w:r>
            <w:r>
              <w:rPr>
                <w:rFonts w:ascii="Times New Roman" w:hAnsi="Times New Roman"/>
                <w:b w:val="0"/>
                <w:bCs w:val="0"/>
                <w:szCs w:val="24"/>
              </w:rPr>
              <w:t>场界应设置1.8m以上的硬质围档</w:t>
            </w:r>
            <w:r>
              <w:rPr>
                <w:rFonts w:hint="eastAsia" w:ascii="Times New Roman" w:hAnsi="Times New Roman"/>
                <w:b w:val="0"/>
                <w:bCs w:val="0"/>
                <w:szCs w:val="24"/>
              </w:rPr>
              <w:t>，</w:t>
            </w:r>
            <w:r>
              <w:rPr>
                <w:rFonts w:ascii="Times New Roman" w:hAnsi="Times New Roman"/>
                <w:b w:val="0"/>
                <w:bCs w:val="0"/>
                <w:szCs w:val="24"/>
              </w:rPr>
              <w:t>遇到干燥、易起尘的土方工程作业时，应辅以洒水压尘，尽量缩短起尘操作时间。四级或四级以上大风天气，应停止土方作业，同时作业处覆以防尘网。施工期间在12月~2月禁止土石方作业。</w:t>
            </w:r>
          </w:p>
          <w:p>
            <w:pPr>
              <w:pStyle w:val="3"/>
              <w:ind w:firstLine="480" w:firstLineChars="200"/>
              <w:rPr>
                <w:rFonts w:ascii="Times New Roman" w:hAnsi="Times New Roman"/>
                <w:b w:val="0"/>
                <w:bCs w:val="0"/>
                <w:szCs w:val="24"/>
              </w:rPr>
            </w:pPr>
            <w:r>
              <w:rPr>
                <w:rFonts w:hint="eastAsia" w:ascii="宋体" w:hAnsi="宋体" w:cs="宋体"/>
                <w:b w:val="0"/>
                <w:bCs w:val="0"/>
                <w:szCs w:val="24"/>
              </w:rPr>
              <w:t>④</w:t>
            </w:r>
            <w:r>
              <w:rPr>
                <w:rFonts w:ascii="Times New Roman" w:hAnsi="Times New Roman"/>
                <w:b w:val="0"/>
                <w:bCs w:val="0"/>
                <w:szCs w:val="24"/>
              </w:rPr>
              <w:t>施工过程中产生的弃土、弃料及其它建筑垃圾，应及时清运。若在工地内堆置超过一周的，则应采取覆盖防尘布、防尘网，定期喷洒抑尘剂，定期喷水压尘等措施，防止风蚀起尘及水蚀迁移。</w:t>
            </w:r>
          </w:p>
          <w:p>
            <w:pPr>
              <w:pStyle w:val="3"/>
              <w:ind w:firstLine="480" w:firstLineChars="200"/>
              <w:rPr>
                <w:rFonts w:ascii="Times New Roman" w:hAnsi="Times New Roman"/>
                <w:b w:val="0"/>
                <w:bCs w:val="0"/>
                <w:szCs w:val="24"/>
              </w:rPr>
            </w:pPr>
            <w:r>
              <w:rPr>
                <w:rFonts w:hint="eastAsia" w:ascii="宋体" w:hAnsi="宋体" w:cs="宋体"/>
                <w:b w:val="0"/>
                <w:bCs w:val="0"/>
                <w:szCs w:val="24"/>
              </w:rPr>
              <w:t>⑤</w:t>
            </w:r>
            <w:r>
              <w:rPr>
                <w:rFonts w:ascii="Times New Roman" w:hAnsi="Times New Roman"/>
                <w:b w:val="0"/>
                <w:bCs w:val="0"/>
                <w:szCs w:val="24"/>
              </w:rPr>
              <w:t>运输车辆尽可能采用密闭车斗，并保证物料不遗撒外漏。若无密闭车斗，物料、垃圾、渣土的装载高度不得超过车辆槽帮上沿，车斗应用苫布遮盖严实，保证物料、渣土、垃圾不露出。车辆应按照批准的路线和时间进行运输。</w:t>
            </w:r>
          </w:p>
          <w:p>
            <w:pPr>
              <w:pStyle w:val="3"/>
              <w:ind w:firstLine="480" w:firstLineChars="200"/>
              <w:rPr>
                <w:rFonts w:ascii="Times New Roman" w:hAnsi="Times New Roman"/>
                <w:b w:val="0"/>
                <w:bCs w:val="0"/>
                <w:szCs w:val="24"/>
              </w:rPr>
            </w:pPr>
            <w:r>
              <w:rPr>
                <w:rFonts w:hint="eastAsia" w:ascii="宋体" w:hAnsi="宋体" w:cs="宋体"/>
                <w:b w:val="0"/>
                <w:bCs w:val="0"/>
                <w:szCs w:val="24"/>
              </w:rPr>
              <w:t>⑥</w:t>
            </w:r>
            <w:r>
              <w:rPr>
                <w:rFonts w:ascii="Times New Roman" w:hAnsi="Times New Roman"/>
                <w:b w:val="0"/>
                <w:bCs w:val="0"/>
                <w:szCs w:val="24"/>
              </w:rPr>
              <w:t>施工工地内及工地出口至道路间的车行道路，应保持清洁，可采取铺设钢板、铺设混凝土路面方式，辅以洒水、喷洒抑尘剂，防止机动车扬尘：妥善合理地安排工地建筑材料及其它物件的运输时间，确保周围道路畅通。</w:t>
            </w:r>
          </w:p>
          <w:p>
            <w:pPr>
              <w:pStyle w:val="3"/>
              <w:ind w:firstLine="480" w:firstLineChars="200"/>
              <w:rPr>
                <w:rFonts w:ascii="Times New Roman" w:hAnsi="Times New Roman"/>
                <w:b w:val="0"/>
                <w:bCs w:val="0"/>
                <w:szCs w:val="24"/>
              </w:rPr>
            </w:pPr>
            <w:r>
              <w:rPr>
                <w:rFonts w:hint="eastAsia" w:ascii="宋体" w:hAnsi="宋体" w:cs="宋体"/>
                <w:b w:val="0"/>
                <w:bCs w:val="0"/>
                <w:szCs w:val="24"/>
              </w:rPr>
              <w:t>⑦</w:t>
            </w:r>
            <w:r>
              <w:rPr>
                <w:rFonts w:ascii="Times New Roman" w:hAnsi="Times New Roman"/>
                <w:b w:val="0"/>
                <w:bCs w:val="0"/>
                <w:szCs w:val="24"/>
              </w:rPr>
              <w:t>工地裸地防尘要做到：覆盖防尘布或防尘网、植被绿化、天晴勤洒水、设置有效抑尘的密目防尘网或防尘布。</w:t>
            </w:r>
          </w:p>
          <w:p>
            <w:pPr>
              <w:pStyle w:val="3"/>
              <w:ind w:firstLine="480" w:firstLineChars="200"/>
              <w:rPr>
                <w:rFonts w:ascii="Times New Roman" w:hAnsi="Times New Roman"/>
                <w:b w:val="0"/>
                <w:bCs w:val="0"/>
                <w:szCs w:val="24"/>
              </w:rPr>
            </w:pPr>
            <w:r>
              <w:rPr>
                <w:rFonts w:hint="eastAsia" w:ascii="宋体" w:hAnsi="宋体" w:cs="宋体"/>
                <w:b w:val="0"/>
                <w:bCs w:val="0"/>
                <w:szCs w:val="24"/>
              </w:rPr>
              <w:t>⑧</w:t>
            </w:r>
            <w:r>
              <w:rPr>
                <w:rFonts w:ascii="Times New Roman" w:hAnsi="Times New Roman"/>
                <w:b w:val="0"/>
                <w:bCs w:val="0"/>
                <w:szCs w:val="24"/>
              </w:rPr>
              <w:t>建议使用商品混凝土和预拌砂浆，不得现场搅拌、消化石灰及拌石灰土等，应尽量使用成品或半成品石材、木制品，减少扬尘。</w:t>
            </w:r>
          </w:p>
          <w:p>
            <w:pPr>
              <w:keepNext/>
              <w:keepLines/>
              <w:spacing w:line="360" w:lineRule="auto"/>
              <w:ind w:firstLine="482" w:firstLineChars="200"/>
              <w:jc w:val="left"/>
              <w:rPr>
                <w:b/>
                <w:kern w:val="0"/>
                <w:sz w:val="24"/>
                <w:szCs w:val="20"/>
              </w:rPr>
            </w:pPr>
            <w:r>
              <w:rPr>
                <w:b/>
                <w:kern w:val="0"/>
                <w:sz w:val="24"/>
                <w:szCs w:val="20"/>
                <w:lang w:bidi="ar"/>
              </w:rPr>
              <w:t>2、施工期废水污染防治措施</w:t>
            </w:r>
          </w:p>
          <w:p>
            <w:pPr>
              <w:adjustRightInd w:val="0"/>
              <w:snapToGrid w:val="0"/>
              <w:spacing w:line="360" w:lineRule="auto"/>
              <w:ind w:firstLine="480" w:firstLineChars="200"/>
              <w:rPr>
                <w:sz w:val="24"/>
                <w:szCs w:val="20"/>
                <w:lang w:bidi="ar"/>
              </w:rPr>
            </w:pPr>
            <w:r>
              <w:rPr>
                <w:sz w:val="24"/>
                <w:szCs w:val="20"/>
                <w:lang w:bidi="ar"/>
              </w:rPr>
              <w:t>项目施工期废水主要为</w:t>
            </w:r>
            <w:r>
              <w:rPr>
                <w:rFonts w:hint="eastAsia"/>
                <w:sz w:val="24"/>
                <w:szCs w:val="20"/>
                <w:lang w:bidi="ar"/>
              </w:rPr>
              <w:t>施工设备冲洗废水以及</w:t>
            </w:r>
            <w:r>
              <w:rPr>
                <w:sz w:val="24"/>
                <w:szCs w:val="20"/>
                <w:lang w:bidi="ar"/>
              </w:rPr>
              <w:t>施工人员产生的生活污水</w:t>
            </w:r>
            <w:r>
              <w:rPr>
                <w:rFonts w:hint="eastAsia"/>
                <w:sz w:val="24"/>
                <w:szCs w:val="20"/>
                <w:lang w:bidi="ar"/>
              </w:rPr>
              <w:t>。施工场地设置临时简易沉淀池，施工设备冲洗废水经沉淀处理后用于</w:t>
            </w:r>
            <w:r>
              <w:rPr>
                <w:sz w:val="24"/>
                <w:szCs w:val="20"/>
                <w:lang w:bidi="ar"/>
              </w:rPr>
              <w:t>场地洒水降尘，不排放</w:t>
            </w:r>
            <w:r>
              <w:rPr>
                <w:rFonts w:hint="eastAsia"/>
                <w:sz w:val="24"/>
                <w:szCs w:val="20"/>
                <w:lang w:bidi="ar"/>
              </w:rPr>
              <w:t>；项目不设置施工营地，依托附近居民房，</w:t>
            </w:r>
            <w:r>
              <w:rPr>
                <w:sz w:val="24"/>
                <w:szCs w:val="20"/>
                <w:lang w:bidi="ar"/>
              </w:rPr>
              <w:t>生活污水依托现有</w:t>
            </w:r>
            <w:r>
              <w:rPr>
                <w:rFonts w:hint="eastAsia"/>
                <w:sz w:val="24"/>
                <w:szCs w:val="20"/>
                <w:lang w:bidi="ar"/>
              </w:rPr>
              <w:t>污水处理设施，不外排</w:t>
            </w:r>
            <w:r>
              <w:rPr>
                <w:sz w:val="24"/>
                <w:szCs w:val="20"/>
                <w:lang w:bidi="ar"/>
              </w:rPr>
              <w:t>。</w:t>
            </w:r>
          </w:p>
          <w:p>
            <w:pPr>
              <w:keepNext/>
              <w:keepLines/>
              <w:spacing w:line="360" w:lineRule="auto"/>
              <w:ind w:firstLine="480" w:firstLineChars="200"/>
              <w:jc w:val="left"/>
              <w:rPr>
                <w:kern w:val="0"/>
                <w:sz w:val="24"/>
                <w:szCs w:val="20"/>
                <w:lang w:bidi="ar"/>
              </w:rPr>
            </w:pPr>
            <w:r>
              <w:rPr>
                <w:kern w:val="0"/>
                <w:sz w:val="24"/>
                <w:szCs w:val="20"/>
                <w:lang w:bidi="ar"/>
              </w:rPr>
              <w:t>施工单位要做好建筑材料和建筑废料的管理，防止它们成为地面水的二次污染源。建议在施工工地周围设置排水明沟，径流水经沉淀池收集，沉淀处理后可回用。</w:t>
            </w:r>
          </w:p>
          <w:p>
            <w:pPr>
              <w:keepNext/>
              <w:keepLines/>
              <w:spacing w:line="360" w:lineRule="auto"/>
              <w:ind w:firstLine="482" w:firstLineChars="200"/>
              <w:jc w:val="left"/>
              <w:rPr>
                <w:b/>
                <w:kern w:val="0"/>
                <w:sz w:val="24"/>
                <w:szCs w:val="20"/>
              </w:rPr>
            </w:pPr>
            <w:r>
              <w:rPr>
                <w:b/>
                <w:kern w:val="0"/>
                <w:sz w:val="24"/>
                <w:szCs w:val="20"/>
                <w:lang w:bidi="ar"/>
              </w:rPr>
              <w:t>3、施工期噪声污染防治措施</w:t>
            </w:r>
          </w:p>
          <w:p>
            <w:pPr>
              <w:pStyle w:val="3"/>
              <w:ind w:firstLine="480" w:firstLineChars="200"/>
              <w:rPr>
                <w:rFonts w:ascii="Times New Roman" w:hAnsi="Times New Roman"/>
                <w:b w:val="0"/>
                <w:bCs w:val="0"/>
                <w:szCs w:val="24"/>
              </w:rPr>
            </w:pPr>
            <w:r>
              <w:rPr>
                <w:rFonts w:ascii="Times New Roman" w:hAnsi="Times New Roman"/>
                <w:b w:val="0"/>
                <w:bCs w:val="0"/>
                <w:szCs w:val="24"/>
              </w:rPr>
              <w:t>为了减轻本项目施工期噪声的环境影响，施工单位必须注意施工机械保养，保持施工机械低声级水平，合理的安排机械作业的施工时间，尽量避免夜间进行高噪声机械施工作业。具体防治措施如下：</w:t>
            </w:r>
          </w:p>
          <w:p>
            <w:pPr>
              <w:adjustRightInd w:val="0"/>
              <w:snapToGrid w:val="0"/>
              <w:spacing w:line="360" w:lineRule="auto"/>
              <w:ind w:firstLine="480" w:firstLineChars="200"/>
              <w:jc w:val="left"/>
              <w:rPr>
                <w:kern w:val="0"/>
                <w:sz w:val="24"/>
              </w:rPr>
            </w:pPr>
            <w:r>
              <w:rPr>
                <w:kern w:val="0"/>
                <w:sz w:val="24"/>
                <w:szCs w:val="20"/>
                <w:lang w:bidi="ar"/>
              </w:rPr>
              <w:t>（1）合理安排施工进度和作业时间，对高噪声设备采取相应的限时作业</w:t>
            </w:r>
            <w:r>
              <w:rPr>
                <w:rStyle w:val="26"/>
                <w:rFonts w:hint="eastAsia"/>
                <w:kern w:val="0"/>
                <w:szCs w:val="20"/>
              </w:rPr>
              <w:t>；</w:t>
            </w:r>
            <w:r>
              <w:rPr>
                <w:rStyle w:val="26"/>
                <w:rFonts w:hint="eastAsia"/>
                <w:kern w:val="0"/>
                <w:sz w:val="24"/>
              </w:rPr>
              <w:t>禁止夜间22：00～次日凌晨6：00时间段内的施工作业。昼间应将施工时间与居民休息时间错开，中午避免进行高噪音施工作业。施工单位应尽量处理好与施工场界周围居民点的关系，避免因噪声污染引发纠纷。</w:t>
            </w:r>
          </w:p>
          <w:p>
            <w:pPr>
              <w:adjustRightInd w:val="0"/>
              <w:snapToGrid w:val="0"/>
              <w:spacing w:line="360" w:lineRule="auto"/>
              <w:ind w:firstLine="480" w:firstLineChars="200"/>
              <w:rPr>
                <w:kern w:val="0"/>
                <w:sz w:val="24"/>
                <w:szCs w:val="20"/>
                <w:lang w:bidi="ar"/>
              </w:rPr>
            </w:pPr>
            <w:r>
              <w:rPr>
                <w:kern w:val="0"/>
                <w:sz w:val="24"/>
                <w:szCs w:val="20"/>
                <w:lang w:bidi="ar"/>
              </w:rPr>
              <w:t>（2）施工设备优先选用低噪声设备，对高噪声设备采取隔声或者</w:t>
            </w:r>
            <w:r>
              <w:rPr>
                <w:rFonts w:hint="eastAsia"/>
                <w:kern w:val="0"/>
                <w:sz w:val="24"/>
                <w:szCs w:val="20"/>
                <w:lang w:bidi="ar"/>
              </w:rPr>
              <w:t>减振</w:t>
            </w:r>
            <w:r>
              <w:rPr>
                <w:kern w:val="0"/>
                <w:sz w:val="24"/>
                <w:szCs w:val="20"/>
                <w:lang w:bidi="ar"/>
              </w:rPr>
              <w:t>措施，如在声源周围设置掩蔽物、加减震垫等，以最大限度的降低噪声。</w:t>
            </w:r>
          </w:p>
          <w:p>
            <w:pPr>
              <w:adjustRightInd w:val="0"/>
              <w:snapToGrid w:val="0"/>
              <w:spacing w:line="360" w:lineRule="auto"/>
              <w:ind w:firstLine="480" w:firstLineChars="200"/>
              <w:jc w:val="left"/>
              <w:rPr>
                <w:rStyle w:val="26"/>
                <w:sz w:val="24"/>
              </w:rPr>
            </w:pPr>
            <w:r>
              <w:rPr>
                <w:rFonts w:hint="eastAsia"/>
                <w:kern w:val="0"/>
                <w:sz w:val="24"/>
                <w:szCs w:val="20"/>
                <w:lang w:bidi="ar"/>
              </w:rPr>
              <w:t>（3）</w:t>
            </w:r>
            <w:r>
              <w:rPr>
                <w:rStyle w:val="26"/>
                <w:kern w:val="0"/>
                <w:sz w:val="24"/>
              </w:rPr>
              <w:t>由于工期等原因，项目必须进行连续施工作业的，应在施工前办理夜间（午休）施工许可证，经批准后方可进行夜间（午休）施工。并且建设单位应会同施工单位做好距施工场地较近居民的工作，以求得谅解和支持，并公布施工期限。</w:t>
            </w:r>
          </w:p>
          <w:p>
            <w:pPr>
              <w:adjustRightInd w:val="0"/>
              <w:snapToGrid w:val="0"/>
              <w:spacing w:line="360" w:lineRule="auto"/>
              <w:ind w:firstLine="480" w:firstLineChars="200"/>
              <w:jc w:val="left"/>
              <w:rPr>
                <w:kern w:val="0"/>
                <w:sz w:val="24"/>
                <w:szCs w:val="20"/>
                <w:lang w:bidi="ar"/>
              </w:rPr>
            </w:pPr>
            <w:r>
              <w:rPr>
                <w:rStyle w:val="26"/>
                <w:rFonts w:hint="eastAsia"/>
                <w:sz w:val="24"/>
              </w:rPr>
              <w:t>（4）</w:t>
            </w:r>
            <w:r>
              <w:rPr>
                <w:rStyle w:val="26"/>
                <w:kern w:val="0"/>
                <w:sz w:val="24"/>
              </w:rPr>
              <w:t>施工过程中加强对施工机械的维修保养，避免由于设备性能下降 而使其工作噪声增大。加强施工现场管理，不大声喧哗，做到文明施工</w:t>
            </w:r>
            <w:r>
              <w:t>。</w:t>
            </w:r>
          </w:p>
          <w:p>
            <w:pPr>
              <w:widowControl/>
              <w:adjustRightInd w:val="0"/>
              <w:snapToGrid w:val="0"/>
              <w:spacing w:line="360" w:lineRule="auto"/>
              <w:ind w:firstLine="480" w:firstLineChars="200"/>
              <w:jc w:val="left"/>
              <w:rPr>
                <w:rFonts w:hint="eastAsia"/>
                <w:kern w:val="0"/>
                <w:sz w:val="24"/>
                <w:szCs w:val="20"/>
                <w:lang w:bidi="ar"/>
              </w:rPr>
            </w:pPr>
            <w:r>
              <w:rPr>
                <w:rFonts w:hint="eastAsia"/>
                <w:kern w:val="0"/>
                <w:sz w:val="24"/>
                <w:szCs w:val="20"/>
                <w:lang w:bidi="ar"/>
              </w:rPr>
              <w:t>在采取以上措施的前提下，施工噪声基本可满足《建筑施工场界环境噪声排放标准》（GB12523-2011）中有关规定。</w:t>
            </w:r>
          </w:p>
          <w:p>
            <w:pPr>
              <w:widowControl/>
              <w:adjustRightInd w:val="0"/>
              <w:snapToGrid w:val="0"/>
              <w:spacing w:line="360" w:lineRule="auto"/>
              <w:ind w:firstLine="480" w:firstLineChars="200"/>
              <w:jc w:val="left"/>
              <w:rPr>
                <w:kern w:val="0"/>
                <w:sz w:val="24"/>
                <w:szCs w:val="20"/>
                <w:lang w:bidi="ar"/>
              </w:rPr>
            </w:pPr>
          </w:p>
          <w:p>
            <w:pPr>
              <w:keepNext/>
              <w:keepLines/>
              <w:spacing w:line="360" w:lineRule="auto"/>
              <w:ind w:firstLine="482" w:firstLineChars="200"/>
              <w:jc w:val="left"/>
              <w:rPr>
                <w:b/>
                <w:kern w:val="0"/>
                <w:sz w:val="24"/>
                <w:szCs w:val="20"/>
              </w:rPr>
            </w:pPr>
            <w:r>
              <w:rPr>
                <w:b/>
                <w:kern w:val="0"/>
                <w:sz w:val="24"/>
                <w:szCs w:val="20"/>
                <w:lang w:bidi="ar"/>
              </w:rPr>
              <w:t>4、施工期固体废物污染防治措施</w:t>
            </w:r>
          </w:p>
          <w:p>
            <w:pPr>
              <w:widowControl/>
              <w:adjustRightInd w:val="0"/>
              <w:snapToGrid w:val="0"/>
              <w:spacing w:line="360" w:lineRule="auto"/>
              <w:ind w:firstLine="480" w:firstLineChars="200"/>
              <w:jc w:val="left"/>
              <w:rPr>
                <w:kern w:val="0"/>
                <w:sz w:val="24"/>
                <w:szCs w:val="20"/>
              </w:rPr>
            </w:pPr>
            <w:r>
              <w:rPr>
                <w:rFonts w:hint="eastAsia"/>
                <w:kern w:val="0"/>
                <w:sz w:val="24"/>
                <w:szCs w:val="20"/>
                <w:lang w:bidi="ar"/>
              </w:rPr>
              <w:t>本项目</w:t>
            </w:r>
            <w:r>
              <w:rPr>
                <w:kern w:val="0"/>
                <w:sz w:val="24"/>
                <w:szCs w:val="20"/>
                <w:lang w:bidi="ar"/>
              </w:rPr>
              <w:t>施工期固体废弃物主要包括建筑垃圾、生活垃圾。</w:t>
            </w:r>
          </w:p>
          <w:p>
            <w:pPr>
              <w:widowControl/>
              <w:adjustRightInd w:val="0"/>
              <w:snapToGrid w:val="0"/>
              <w:spacing w:line="360" w:lineRule="auto"/>
              <w:ind w:firstLine="480" w:firstLineChars="200"/>
              <w:jc w:val="left"/>
              <w:rPr>
                <w:kern w:val="0"/>
                <w:sz w:val="24"/>
                <w:szCs w:val="20"/>
                <w:lang w:bidi="ar"/>
              </w:rPr>
            </w:pPr>
            <w:r>
              <w:rPr>
                <w:kern w:val="0"/>
                <w:sz w:val="24"/>
                <w:szCs w:val="20"/>
                <w:lang w:bidi="ar"/>
              </w:rPr>
              <w:t>（1）</w:t>
            </w:r>
            <w:r>
              <w:rPr>
                <w:rFonts w:hint="eastAsia"/>
                <w:kern w:val="0"/>
                <w:sz w:val="24"/>
                <w:szCs w:val="20"/>
                <w:lang w:bidi="ar"/>
              </w:rPr>
              <w:t>本项目土石方产生主要由于地基挖掘产生，若出现多余土方，可用于项目区场地平整和绿化，不产生弃土；</w:t>
            </w:r>
          </w:p>
          <w:p>
            <w:pPr>
              <w:widowControl/>
              <w:adjustRightInd w:val="0"/>
              <w:snapToGrid w:val="0"/>
              <w:spacing w:line="360" w:lineRule="auto"/>
              <w:ind w:firstLine="480" w:firstLineChars="200"/>
              <w:jc w:val="left"/>
              <w:rPr>
                <w:kern w:val="0"/>
                <w:sz w:val="24"/>
                <w:szCs w:val="20"/>
                <w:lang w:bidi="ar"/>
              </w:rPr>
            </w:pPr>
            <w:r>
              <w:rPr>
                <w:rFonts w:hint="eastAsia"/>
                <w:kern w:val="0"/>
                <w:sz w:val="24"/>
                <w:szCs w:val="20"/>
                <w:lang w:bidi="ar"/>
              </w:rPr>
              <w:t>（2）</w:t>
            </w:r>
            <w:r>
              <w:rPr>
                <w:kern w:val="0"/>
                <w:sz w:val="24"/>
                <w:szCs w:val="20"/>
                <w:lang w:bidi="ar"/>
              </w:rPr>
              <w:t>施工期生活垃圾，分类收集，由环卫部门统一清运，对周边环境影响较小。</w:t>
            </w:r>
          </w:p>
          <w:p>
            <w:pPr>
              <w:widowControl/>
              <w:adjustRightInd w:val="0"/>
              <w:snapToGrid w:val="0"/>
              <w:spacing w:line="360" w:lineRule="auto"/>
              <w:ind w:firstLine="480" w:firstLineChars="200"/>
              <w:jc w:val="left"/>
              <w:rPr>
                <w:kern w:val="0"/>
                <w:sz w:val="24"/>
                <w:szCs w:val="20"/>
                <w:lang w:bidi="ar"/>
              </w:rPr>
            </w:pPr>
            <w:r>
              <w:rPr>
                <w:kern w:val="0"/>
                <w:sz w:val="24"/>
                <w:szCs w:val="20"/>
                <w:lang w:bidi="ar"/>
              </w:rPr>
              <w:t>（3）</w:t>
            </w:r>
            <w:r>
              <w:rPr>
                <w:rFonts w:hint="eastAsia"/>
                <w:kern w:val="0"/>
                <w:sz w:val="24"/>
                <w:szCs w:val="20"/>
                <w:lang w:bidi="ar"/>
              </w:rPr>
              <w:t>建设过程中产生的</w:t>
            </w:r>
            <w:r>
              <w:rPr>
                <w:kern w:val="0"/>
                <w:sz w:val="24"/>
                <w:szCs w:val="20"/>
                <w:lang w:bidi="ar"/>
              </w:rPr>
              <w:t>建筑垃圾</w:t>
            </w:r>
            <w:r>
              <w:rPr>
                <w:rFonts w:hint="eastAsia"/>
                <w:kern w:val="0"/>
                <w:sz w:val="24"/>
                <w:szCs w:val="20"/>
                <w:lang w:bidi="ar"/>
              </w:rPr>
              <w:t>应</w:t>
            </w:r>
            <w:r>
              <w:rPr>
                <w:kern w:val="0"/>
                <w:sz w:val="24"/>
                <w:szCs w:val="20"/>
                <w:lang w:bidi="ar"/>
              </w:rPr>
              <w:t>分类收集，可回收利用部分回收利用，不可回收部分</w:t>
            </w:r>
            <w:r>
              <w:rPr>
                <w:rFonts w:hint="eastAsia"/>
                <w:kern w:val="0"/>
                <w:sz w:val="24"/>
                <w:szCs w:val="20"/>
                <w:lang w:bidi="ar"/>
              </w:rPr>
              <w:t>送环境卫生行政主管部门制定地点填埋</w:t>
            </w:r>
            <w:r>
              <w:rPr>
                <w:kern w:val="0"/>
                <w:sz w:val="24"/>
                <w:szCs w:val="20"/>
                <w:lang w:bidi="ar"/>
              </w:rPr>
              <w:t>。</w:t>
            </w:r>
            <w:r>
              <w:rPr>
                <w:rFonts w:hint="eastAsia"/>
                <w:kern w:val="0"/>
                <w:sz w:val="24"/>
                <w:szCs w:val="20"/>
                <w:lang w:bidi="ar"/>
              </w:rPr>
              <w:t>其中对于拆除建筑垃圾应全部及时清理运往当地环卫部门</w:t>
            </w:r>
            <w:r>
              <w:rPr>
                <w:kern w:val="0"/>
                <w:sz w:val="24"/>
                <w:szCs w:val="20"/>
                <w:lang w:bidi="ar"/>
              </w:rPr>
              <w:t>指定的建筑垃圾堆放点处置</w:t>
            </w:r>
            <w:r>
              <w:rPr>
                <w:rFonts w:hint="eastAsia"/>
                <w:kern w:val="0"/>
                <w:sz w:val="24"/>
                <w:szCs w:val="20"/>
                <w:lang w:bidi="ar"/>
              </w:rPr>
              <w:t>，禁止随意堆放。</w:t>
            </w:r>
          </w:p>
          <w:p>
            <w:pPr>
              <w:widowControl/>
              <w:ind w:firstLine="480" w:firstLineChars="200"/>
              <w:rPr>
                <w:bCs/>
                <w:spacing w:val="-10"/>
                <w:sz w:val="24"/>
              </w:rPr>
            </w:pPr>
            <w:r>
              <w:rPr>
                <w:sz w:val="24"/>
                <w:szCs w:val="20"/>
                <w:lang w:bidi="ar"/>
              </w:rPr>
              <w:t>由于项目施工周期较短，对环境的暂时影响会随着项目的建成而结束。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65" w:type="pct"/>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4734" w:type="pct"/>
            <w:vAlign w:val="center"/>
          </w:tcPr>
          <w:p>
            <w:pPr>
              <w:widowControl/>
              <w:spacing w:line="360" w:lineRule="auto"/>
              <w:ind w:firstLine="482" w:firstLineChars="200"/>
              <w:contextualSpacing/>
              <w:rPr>
                <w:b/>
                <w:kern w:val="0"/>
                <w:sz w:val="24"/>
              </w:rPr>
            </w:pPr>
            <w:r>
              <w:rPr>
                <w:b/>
                <w:kern w:val="0"/>
                <w:sz w:val="24"/>
              </w:rPr>
              <w:t>1、废气</w:t>
            </w:r>
          </w:p>
          <w:p>
            <w:pPr>
              <w:spacing w:line="360" w:lineRule="auto"/>
              <w:ind w:firstLine="480" w:firstLineChars="200"/>
              <w:rPr>
                <w:kern w:val="0"/>
                <w:sz w:val="24"/>
              </w:rPr>
            </w:pPr>
            <w:r>
              <w:rPr>
                <w:rFonts w:hint="eastAsia"/>
                <w:kern w:val="0"/>
                <w:sz w:val="24"/>
              </w:rPr>
              <w:t>本项目运营期废气主要包括污水处理站废气、锅炉废气、油烟废气和柴油发电机废气。</w:t>
            </w:r>
          </w:p>
          <w:p>
            <w:pPr>
              <w:spacing w:line="360" w:lineRule="auto"/>
              <w:ind w:firstLine="480" w:firstLineChars="200"/>
              <w:rPr>
                <w:bCs/>
                <w:sz w:val="24"/>
              </w:rPr>
            </w:pPr>
            <w:r>
              <w:rPr>
                <w:rFonts w:hint="eastAsia"/>
                <w:bCs/>
                <w:sz w:val="24"/>
              </w:rPr>
              <w:t>（1）废气污染物排放情况</w:t>
            </w:r>
          </w:p>
          <w:p>
            <w:pPr>
              <w:spacing w:line="360" w:lineRule="auto"/>
              <w:ind w:firstLine="480" w:firstLineChars="200"/>
              <w:rPr>
                <w:bCs/>
                <w:sz w:val="24"/>
              </w:rPr>
            </w:pPr>
            <w:r>
              <w:rPr>
                <w:rFonts w:hint="eastAsia"/>
                <w:bCs/>
                <w:sz w:val="24"/>
              </w:rPr>
              <w:t>本</w:t>
            </w:r>
            <w:r>
              <w:rPr>
                <w:bCs/>
                <w:sz w:val="24"/>
              </w:rPr>
              <w:t>项目</w:t>
            </w:r>
            <w:r>
              <w:rPr>
                <w:rFonts w:hint="eastAsia"/>
                <w:bCs/>
                <w:sz w:val="24"/>
              </w:rPr>
              <w:t>运营期</w:t>
            </w:r>
            <w:r>
              <w:rPr>
                <w:bCs/>
                <w:sz w:val="24"/>
              </w:rPr>
              <w:t>污染物产排情况见表</w:t>
            </w:r>
            <w:r>
              <w:rPr>
                <w:rFonts w:hint="eastAsia"/>
                <w:bCs/>
                <w:sz w:val="24"/>
              </w:rPr>
              <w:t>4-</w:t>
            </w:r>
            <w:r>
              <w:rPr>
                <w:bCs/>
                <w:sz w:val="24"/>
              </w:rPr>
              <w:t>1。</w:t>
            </w:r>
          </w:p>
          <w:p>
            <w:pPr>
              <w:snapToGrid w:val="0"/>
              <w:jc w:val="center"/>
              <w:rPr>
                <w:b/>
                <w:bCs/>
                <w:sz w:val="24"/>
              </w:rPr>
            </w:pPr>
            <w:r>
              <w:rPr>
                <w:b/>
                <w:bCs/>
                <w:sz w:val="24"/>
              </w:rPr>
              <w:t>表</w:t>
            </w:r>
            <w:r>
              <w:rPr>
                <w:rFonts w:hint="eastAsia"/>
                <w:b/>
                <w:bCs/>
                <w:sz w:val="24"/>
              </w:rPr>
              <w:t>4-</w:t>
            </w:r>
            <w:r>
              <w:rPr>
                <w:b/>
                <w:bCs/>
                <w:sz w:val="24"/>
              </w:rPr>
              <w:t>1    项目污染物产排情况表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951"/>
              <w:gridCol w:w="870"/>
              <w:gridCol w:w="1021"/>
              <w:gridCol w:w="961"/>
              <w:gridCol w:w="1251"/>
              <w:gridCol w:w="821"/>
              <w:gridCol w:w="1176"/>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pPr>
                    <w:snapToGrid w:val="0"/>
                    <w:jc w:val="center"/>
                    <w:rPr>
                      <w:b/>
                      <w:bCs/>
                      <w:snapToGrid w:val="0"/>
                      <w:spacing w:val="-10"/>
                      <w:szCs w:val="21"/>
                    </w:rPr>
                  </w:pPr>
                  <w:r>
                    <w:rPr>
                      <w:b/>
                      <w:bCs/>
                      <w:snapToGrid w:val="0"/>
                      <w:spacing w:val="-10"/>
                      <w:szCs w:val="21"/>
                    </w:rPr>
                    <w:t>产污</w:t>
                  </w:r>
                </w:p>
                <w:p>
                  <w:pPr>
                    <w:snapToGrid w:val="0"/>
                    <w:jc w:val="center"/>
                    <w:rPr>
                      <w:b/>
                      <w:bCs/>
                      <w:snapToGrid w:val="0"/>
                      <w:spacing w:val="-10"/>
                      <w:szCs w:val="21"/>
                    </w:rPr>
                  </w:pPr>
                  <w:r>
                    <w:rPr>
                      <w:b/>
                      <w:bCs/>
                      <w:snapToGrid w:val="0"/>
                      <w:spacing w:val="-10"/>
                      <w:szCs w:val="21"/>
                    </w:rPr>
                    <w:t>环节</w:t>
                  </w:r>
                </w:p>
              </w:tc>
              <w:tc>
                <w:tcPr>
                  <w:tcW w:w="562" w:type="pct"/>
                  <w:vMerge w:val="restart"/>
                  <w:vAlign w:val="center"/>
                </w:tcPr>
                <w:p>
                  <w:pPr>
                    <w:snapToGrid w:val="0"/>
                    <w:jc w:val="center"/>
                    <w:rPr>
                      <w:b/>
                      <w:bCs/>
                      <w:snapToGrid w:val="0"/>
                      <w:spacing w:val="-10"/>
                      <w:szCs w:val="21"/>
                    </w:rPr>
                  </w:pPr>
                  <w:r>
                    <w:rPr>
                      <w:b/>
                      <w:bCs/>
                      <w:snapToGrid w:val="0"/>
                      <w:spacing w:val="-10"/>
                      <w:szCs w:val="21"/>
                    </w:rPr>
                    <w:t>污染物种类</w:t>
                  </w:r>
                </w:p>
              </w:tc>
              <w:tc>
                <w:tcPr>
                  <w:tcW w:w="1117" w:type="pct"/>
                  <w:gridSpan w:val="2"/>
                  <w:vAlign w:val="center"/>
                </w:tcPr>
                <w:p>
                  <w:pPr>
                    <w:snapToGrid w:val="0"/>
                    <w:jc w:val="center"/>
                    <w:rPr>
                      <w:b/>
                      <w:bCs/>
                      <w:snapToGrid w:val="0"/>
                      <w:spacing w:val="-10"/>
                      <w:szCs w:val="21"/>
                    </w:rPr>
                  </w:pPr>
                  <w:r>
                    <w:rPr>
                      <w:b/>
                      <w:bCs/>
                      <w:snapToGrid w:val="0"/>
                      <w:spacing w:val="-10"/>
                      <w:szCs w:val="21"/>
                    </w:rPr>
                    <w:t>产生情况</w:t>
                  </w:r>
                </w:p>
              </w:tc>
              <w:tc>
                <w:tcPr>
                  <w:tcW w:w="568" w:type="pct"/>
                  <w:vMerge w:val="restart"/>
                  <w:vAlign w:val="center"/>
                </w:tcPr>
                <w:p>
                  <w:pPr>
                    <w:snapToGrid w:val="0"/>
                    <w:jc w:val="center"/>
                    <w:rPr>
                      <w:b/>
                      <w:bCs/>
                      <w:snapToGrid w:val="0"/>
                      <w:spacing w:val="-10"/>
                      <w:szCs w:val="21"/>
                    </w:rPr>
                  </w:pPr>
                  <w:r>
                    <w:rPr>
                      <w:b/>
                      <w:bCs/>
                      <w:snapToGrid w:val="0"/>
                      <w:spacing w:val="-10"/>
                      <w:szCs w:val="21"/>
                    </w:rPr>
                    <w:t>排放形式</w:t>
                  </w:r>
                </w:p>
              </w:tc>
              <w:tc>
                <w:tcPr>
                  <w:tcW w:w="739" w:type="pct"/>
                  <w:vMerge w:val="restart"/>
                  <w:vAlign w:val="center"/>
                </w:tcPr>
                <w:p>
                  <w:pPr>
                    <w:snapToGrid w:val="0"/>
                    <w:jc w:val="center"/>
                    <w:rPr>
                      <w:b/>
                      <w:bCs/>
                      <w:snapToGrid w:val="0"/>
                      <w:spacing w:val="-10"/>
                      <w:szCs w:val="21"/>
                    </w:rPr>
                  </w:pPr>
                  <w:r>
                    <w:rPr>
                      <w:b/>
                      <w:bCs/>
                      <w:snapToGrid w:val="0"/>
                      <w:spacing w:val="-10"/>
                      <w:szCs w:val="21"/>
                    </w:rPr>
                    <w:t>治理设施</w:t>
                  </w:r>
                </w:p>
              </w:tc>
              <w:tc>
                <w:tcPr>
                  <w:tcW w:w="1180" w:type="pct"/>
                  <w:gridSpan w:val="2"/>
                  <w:vAlign w:val="center"/>
                </w:tcPr>
                <w:p>
                  <w:pPr>
                    <w:snapToGrid w:val="0"/>
                    <w:jc w:val="center"/>
                    <w:rPr>
                      <w:b/>
                      <w:bCs/>
                      <w:snapToGrid w:val="0"/>
                      <w:spacing w:val="-10"/>
                      <w:szCs w:val="21"/>
                    </w:rPr>
                  </w:pPr>
                  <w:r>
                    <w:rPr>
                      <w:b/>
                      <w:bCs/>
                      <w:snapToGrid w:val="0"/>
                      <w:spacing w:val="-10"/>
                      <w:szCs w:val="21"/>
                    </w:rPr>
                    <w:t>排放情况</w:t>
                  </w:r>
                </w:p>
              </w:tc>
              <w:tc>
                <w:tcPr>
                  <w:tcW w:w="437" w:type="pct"/>
                  <w:vMerge w:val="restart"/>
                  <w:vAlign w:val="center"/>
                </w:tcPr>
                <w:p>
                  <w:pPr>
                    <w:snapToGrid w:val="0"/>
                    <w:jc w:val="center"/>
                    <w:rPr>
                      <w:b/>
                      <w:bCs/>
                      <w:snapToGrid w:val="0"/>
                      <w:spacing w:val="-10"/>
                      <w:szCs w:val="21"/>
                    </w:rPr>
                  </w:pPr>
                  <w:r>
                    <w:rPr>
                      <w:b/>
                      <w:bCs/>
                      <w:snapToGrid w:val="0"/>
                      <w:spacing w:val="-10"/>
                      <w:szCs w:val="21"/>
                    </w:rPr>
                    <w:t>排放口信息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pPr>
                    <w:snapToGrid w:val="0"/>
                    <w:jc w:val="center"/>
                    <w:rPr>
                      <w:b/>
                      <w:bCs/>
                      <w:snapToGrid w:val="0"/>
                      <w:spacing w:val="-10"/>
                      <w:szCs w:val="21"/>
                    </w:rPr>
                  </w:pPr>
                </w:p>
              </w:tc>
              <w:tc>
                <w:tcPr>
                  <w:tcW w:w="562" w:type="pct"/>
                  <w:vMerge w:val="continue"/>
                  <w:vAlign w:val="center"/>
                </w:tcPr>
                <w:p>
                  <w:pPr>
                    <w:snapToGrid w:val="0"/>
                    <w:jc w:val="center"/>
                    <w:rPr>
                      <w:b/>
                      <w:bCs/>
                      <w:snapToGrid w:val="0"/>
                      <w:spacing w:val="-10"/>
                      <w:szCs w:val="21"/>
                    </w:rPr>
                  </w:pPr>
                </w:p>
              </w:tc>
              <w:tc>
                <w:tcPr>
                  <w:tcW w:w="514" w:type="pct"/>
                  <w:vAlign w:val="center"/>
                </w:tcPr>
                <w:p>
                  <w:pPr>
                    <w:snapToGrid w:val="0"/>
                    <w:jc w:val="center"/>
                    <w:rPr>
                      <w:b/>
                      <w:bCs/>
                      <w:snapToGrid w:val="0"/>
                      <w:spacing w:val="-10"/>
                      <w:szCs w:val="21"/>
                    </w:rPr>
                  </w:pPr>
                  <w:r>
                    <w:rPr>
                      <w:b/>
                      <w:bCs/>
                      <w:snapToGrid w:val="0"/>
                      <w:spacing w:val="-10"/>
                      <w:szCs w:val="21"/>
                    </w:rPr>
                    <w:t>浓度(mg/m</w:t>
                  </w:r>
                  <w:r>
                    <w:rPr>
                      <w:b/>
                      <w:bCs/>
                      <w:snapToGrid w:val="0"/>
                      <w:spacing w:val="-10"/>
                      <w:szCs w:val="21"/>
                      <w:vertAlign w:val="superscript"/>
                    </w:rPr>
                    <w:t>3</w:t>
                  </w:r>
                  <w:r>
                    <w:rPr>
                      <w:b/>
                      <w:bCs/>
                      <w:snapToGrid w:val="0"/>
                      <w:spacing w:val="-10"/>
                      <w:szCs w:val="21"/>
                    </w:rPr>
                    <w:t>)</w:t>
                  </w:r>
                </w:p>
              </w:tc>
              <w:tc>
                <w:tcPr>
                  <w:tcW w:w="603" w:type="pct"/>
                  <w:vAlign w:val="center"/>
                </w:tcPr>
                <w:p>
                  <w:pPr>
                    <w:snapToGrid w:val="0"/>
                    <w:jc w:val="center"/>
                    <w:rPr>
                      <w:b/>
                      <w:bCs/>
                      <w:snapToGrid w:val="0"/>
                      <w:spacing w:val="-10"/>
                      <w:szCs w:val="21"/>
                    </w:rPr>
                  </w:pPr>
                  <w:r>
                    <w:rPr>
                      <w:b/>
                      <w:bCs/>
                      <w:snapToGrid w:val="0"/>
                      <w:spacing w:val="-10"/>
                      <w:szCs w:val="21"/>
                    </w:rPr>
                    <w:t>产生量</w:t>
                  </w:r>
                </w:p>
                <w:p>
                  <w:pPr>
                    <w:snapToGrid w:val="0"/>
                    <w:jc w:val="center"/>
                    <w:rPr>
                      <w:b/>
                      <w:bCs/>
                      <w:snapToGrid w:val="0"/>
                      <w:spacing w:val="-10"/>
                      <w:szCs w:val="21"/>
                    </w:rPr>
                  </w:pPr>
                  <w:r>
                    <w:rPr>
                      <w:b/>
                      <w:bCs/>
                      <w:snapToGrid w:val="0"/>
                      <w:spacing w:val="-10"/>
                      <w:szCs w:val="21"/>
                    </w:rPr>
                    <w:t>(t/a)</w:t>
                  </w:r>
                </w:p>
              </w:tc>
              <w:tc>
                <w:tcPr>
                  <w:tcW w:w="568" w:type="pct"/>
                  <w:vMerge w:val="continue"/>
                  <w:vAlign w:val="center"/>
                </w:tcPr>
                <w:p>
                  <w:pPr>
                    <w:snapToGrid w:val="0"/>
                    <w:jc w:val="center"/>
                    <w:rPr>
                      <w:b/>
                      <w:bCs/>
                      <w:snapToGrid w:val="0"/>
                      <w:spacing w:val="-10"/>
                      <w:szCs w:val="21"/>
                    </w:rPr>
                  </w:pPr>
                </w:p>
              </w:tc>
              <w:tc>
                <w:tcPr>
                  <w:tcW w:w="739" w:type="pct"/>
                  <w:vMerge w:val="continue"/>
                  <w:vAlign w:val="center"/>
                </w:tcPr>
                <w:p>
                  <w:pPr>
                    <w:snapToGrid w:val="0"/>
                    <w:jc w:val="center"/>
                    <w:rPr>
                      <w:b/>
                      <w:bCs/>
                      <w:snapToGrid w:val="0"/>
                      <w:spacing w:val="-10"/>
                      <w:szCs w:val="21"/>
                    </w:rPr>
                  </w:pPr>
                </w:p>
              </w:tc>
              <w:tc>
                <w:tcPr>
                  <w:tcW w:w="485" w:type="pct"/>
                  <w:vAlign w:val="center"/>
                </w:tcPr>
                <w:p>
                  <w:pPr>
                    <w:snapToGrid w:val="0"/>
                    <w:jc w:val="center"/>
                    <w:rPr>
                      <w:b/>
                      <w:bCs/>
                      <w:snapToGrid w:val="0"/>
                      <w:spacing w:val="-10"/>
                      <w:szCs w:val="21"/>
                    </w:rPr>
                  </w:pPr>
                  <w:r>
                    <w:rPr>
                      <w:b/>
                      <w:bCs/>
                      <w:snapToGrid w:val="0"/>
                      <w:spacing w:val="-10"/>
                      <w:szCs w:val="21"/>
                    </w:rPr>
                    <w:t>浓度</w:t>
                  </w:r>
                  <w:r>
                    <w:rPr>
                      <w:b/>
                      <w:bCs/>
                      <w:snapToGrid w:val="0"/>
                      <w:spacing w:val="-17"/>
                      <w:szCs w:val="21"/>
                    </w:rPr>
                    <w:t>(mg/m</w:t>
                  </w:r>
                  <w:r>
                    <w:rPr>
                      <w:b/>
                      <w:bCs/>
                      <w:snapToGrid w:val="0"/>
                      <w:spacing w:val="-17"/>
                      <w:szCs w:val="21"/>
                      <w:vertAlign w:val="superscript"/>
                    </w:rPr>
                    <w:t>3</w:t>
                  </w:r>
                  <w:r>
                    <w:rPr>
                      <w:b/>
                      <w:bCs/>
                      <w:snapToGrid w:val="0"/>
                      <w:spacing w:val="-17"/>
                      <w:szCs w:val="21"/>
                    </w:rPr>
                    <w:t>)</w:t>
                  </w:r>
                </w:p>
              </w:tc>
              <w:tc>
                <w:tcPr>
                  <w:tcW w:w="695" w:type="pct"/>
                  <w:vAlign w:val="center"/>
                </w:tcPr>
                <w:p>
                  <w:pPr>
                    <w:snapToGrid w:val="0"/>
                    <w:jc w:val="center"/>
                    <w:rPr>
                      <w:b/>
                      <w:bCs/>
                      <w:snapToGrid w:val="0"/>
                      <w:spacing w:val="-10"/>
                      <w:szCs w:val="21"/>
                    </w:rPr>
                  </w:pPr>
                  <w:r>
                    <w:rPr>
                      <w:b/>
                      <w:bCs/>
                      <w:snapToGrid w:val="0"/>
                      <w:spacing w:val="-10"/>
                      <w:szCs w:val="21"/>
                    </w:rPr>
                    <w:t>排放量</w:t>
                  </w:r>
                </w:p>
                <w:p>
                  <w:pPr>
                    <w:snapToGrid w:val="0"/>
                    <w:jc w:val="center"/>
                    <w:rPr>
                      <w:b/>
                      <w:bCs/>
                      <w:snapToGrid w:val="0"/>
                      <w:spacing w:val="-10"/>
                      <w:szCs w:val="21"/>
                    </w:rPr>
                  </w:pPr>
                  <w:r>
                    <w:rPr>
                      <w:b/>
                      <w:bCs/>
                      <w:snapToGrid w:val="0"/>
                      <w:spacing w:val="-10"/>
                      <w:szCs w:val="21"/>
                    </w:rPr>
                    <w:t>(t/a)</w:t>
                  </w:r>
                </w:p>
              </w:tc>
              <w:tc>
                <w:tcPr>
                  <w:tcW w:w="437" w:type="pct"/>
                  <w:vMerge w:val="continue"/>
                  <w:vAlign w:val="center"/>
                </w:tcPr>
                <w:p>
                  <w:pPr>
                    <w:snapToGrid w:val="0"/>
                    <w:jc w:val="center"/>
                    <w:rPr>
                      <w:b/>
                      <w:bCs/>
                      <w:snapToGrid w:val="0"/>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97" w:type="pct"/>
                  <w:vMerge w:val="restart"/>
                  <w:vAlign w:val="center"/>
                </w:tcPr>
                <w:p>
                  <w:pPr>
                    <w:snapToGrid w:val="0"/>
                    <w:jc w:val="center"/>
                    <w:rPr>
                      <w:snapToGrid w:val="0"/>
                      <w:spacing w:val="-11"/>
                      <w:szCs w:val="21"/>
                    </w:rPr>
                  </w:pPr>
                  <w:r>
                    <w:rPr>
                      <w:snapToGrid w:val="0"/>
                      <w:spacing w:val="-11"/>
                      <w:szCs w:val="21"/>
                    </w:rPr>
                    <w:t>废水处理站</w:t>
                  </w:r>
                </w:p>
              </w:tc>
              <w:tc>
                <w:tcPr>
                  <w:tcW w:w="562" w:type="pct"/>
                  <w:vAlign w:val="center"/>
                </w:tcPr>
                <w:p>
                  <w:pPr>
                    <w:snapToGrid w:val="0"/>
                    <w:jc w:val="center"/>
                    <w:rPr>
                      <w:snapToGrid w:val="0"/>
                      <w:spacing w:val="-11"/>
                      <w:szCs w:val="21"/>
                    </w:rPr>
                  </w:pPr>
                  <w:r>
                    <w:rPr>
                      <w:snapToGrid w:val="0"/>
                      <w:spacing w:val="-11"/>
                      <w:szCs w:val="21"/>
                    </w:rPr>
                    <w:t>NH</w:t>
                  </w:r>
                  <w:r>
                    <w:rPr>
                      <w:snapToGrid w:val="0"/>
                      <w:spacing w:val="-11"/>
                      <w:szCs w:val="21"/>
                      <w:vertAlign w:val="subscript"/>
                    </w:rPr>
                    <w:t>3</w:t>
                  </w:r>
                </w:p>
              </w:tc>
              <w:tc>
                <w:tcPr>
                  <w:tcW w:w="514" w:type="pct"/>
                  <w:vAlign w:val="center"/>
                </w:tcPr>
                <w:p>
                  <w:pPr>
                    <w:snapToGrid w:val="0"/>
                    <w:jc w:val="center"/>
                    <w:rPr>
                      <w:szCs w:val="21"/>
                    </w:rPr>
                  </w:pPr>
                  <w:r>
                    <w:rPr>
                      <w:szCs w:val="21"/>
                    </w:rPr>
                    <w:t>/</w:t>
                  </w:r>
                </w:p>
              </w:tc>
              <w:tc>
                <w:tcPr>
                  <w:tcW w:w="603" w:type="pct"/>
                  <w:vAlign w:val="center"/>
                </w:tcPr>
                <w:p>
                  <w:pPr>
                    <w:snapToGrid w:val="0"/>
                    <w:jc w:val="center"/>
                    <w:rPr>
                      <w:spacing w:val="-23"/>
                      <w:szCs w:val="21"/>
                    </w:rPr>
                  </w:pPr>
                  <w:r>
                    <w:rPr>
                      <w:spacing w:val="-6"/>
                      <w:szCs w:val="21"/>
                    </w:rPr>
                    <w:t>3.1</w:t>
                  </w:r>
                  <w:r>
                    <w:rPr>
                      <w:bCs/>
                      <w:snapToGrid w:val="0"/>
                      <w:spacing w:val="-10"/>
                      <w:szCs w:val="21"/>
                    </w:rPr>
                    <w:t xml:space="preserve"> kg/a</w:t>
                  </w:r>
                </w:p>
              </w:tc>
              <w:tc>
                <w:tcPr>
                  <w:tcW w:w="568" w:type="pct"/>
                  <w:vMerge w:val="restart"/>
                  <w:vAlign w:val="center"/>
                </w:tcPr>
                <w:p>
                  <w:pPr>
                    <w:snapToGrid w:val="0"/>
                    <w:jc w:val="center"/>
                    <w:rPr>
                      <w:szCs w:val="21"/>
                    </w:rPr>
                  </w:pPr>
                  <w:r>
                    <w:rPr>
                      <w:rFonts w:hint="eastAsia"/>
                      <w:szCs w:val="21"/>
                    </w:rPr>
                    <w:t>有组织</w:t>
                  </w:r>
                </w:p>
              </w:tc>
              <w:tc>
                <w:tcPr>
                  <w:tcW w:w="739" w:type="pct"/>
                  <w:vMerge w:val="restart"/>
                  <w:vAlign w:val="center"/>
                </w:tcPr>
                <w:p>
                  <w:pPr>
                    <w:snapToGrid w:val="0"/>
                    <w:jc w:val="center"/>
                    <w:rPr>
                      <w:szCs w:val="21"/>
                    </w:rPr>
                  </w:pPr>
                  <w:r>
                    <w:rPr>
                      <w:rFonts w:hint="eastAsia"/>
                      <w:szCs w:val="21"/>
                    </w:rPr>
                    <w:t>装置密闭+活性炭吸附装置+</w:t>
                  </w:r>
                  <w:r>
                    <w:rPr>
                      <w:szCs w:val="21"/>
                    </w:rPr>
                    <w:t>15m</w:t>
                  </w:r>
                  <w:r>
                    <w:rPr>
                      <w:rFonts w:hint="eastAsia"/>
                      <w:szCs w:val="21"/>
                    </w:rPr>
                    <w:t>高排气筒+投放除臭剂</w:t>
                  </w:r>
                </w:p>
              </w:tc>
              <w:tc>
                <w:tcPr>
                  <w:tcW w:w="485" w:type="pct"/>
                  <w:vAlign w:val="center"/>
                </w:tcPr>
                <w:p>
                  <w:pPr>
                    <w:snapToGrid w:val="0"/>
                    <w:jc w:val="center"/>
                    <w:rPr>
                      <w:szCs w:val="21"/>
                    </w:rPr>
                  </w:pPr>
                  <w:r>
                    <w:rPr>
                      <w:szCs w:val="21"/>
                    </w:rPr>
                    <w:t>/</w:t>
                  </w:r>
                </w:p>
              </w:tc>
              <w:tc>
                <w:tcPr>
                  <w:tcW w:w="695" w:type="pct"/>
                  <w:vAlign w:val="center"/>
                </w:tcPr>
                <w:p>
                  <w:pPr>
                    <w:snapToGrid w:val="0"/>
                    <w:jc w:val="center"/>
                    <w:rPr>
                      <w:spacing w:val="-11"/>
                      <w:szCs w:val="21"/>
                    </w:rPr>
                  </w:pPr>
                  <w:r>
                    <w:rPr>
                      <w:spacing w:val="-6"/>
                      <w:szCs w:val="21"/>
                    </w:rPr>
                    <w:t>0.93</w:t>
                  </w:r>
                  <w:r>
                    <w:rPr>
                      <w:bCs/>
                      <w:snapToGrid w:val="0"/>
                      <w:spacing w:val="-10"/>
                      <w:szCs w:val="21"/>
                    </w:rPr>
                    <w:t xml:space="preserve"> kg/a</w:t>
                  </w:r>
                </w:p>
              </w:tc>
              <w:tc>
                <w:tcPr>
                  <w:tcW w:w="437" w:type="pct"/>
                  <w:vMerge w:val="restart"/>
                  <w:vAlign w:val="center"/>
                </w:tcPr>
                <w:p>
                  <w:pPr>
                    <w:snapToGrid w:val="0"/>
                    <w:jc w:val="center"/>
                    <w:rPr>
                      <w:snapToGrid w:val="0"/>
                      <w:spacing w:val="-11"/>
                      <w:szCs w:val="21"/>
                    </w:rPr>
                  </w:pPr>
                  <w:r>
                    <w:rPr>
                      <w:szCs w:val="21"/>
                    </w:rPr>
                    <w:t>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pPr>
                    <w:snapToGrid w:val="0"/>
                    <w:jc w:val="center"/>
                    <w:rPr>
                      <w:snapToGrid w:val="0"/>
                      <w:spacing w:val="-11"/>
                      <w:szCs w:val="21"/>
                    </w:rPr>
                  </w:pPr>
                </w:p>
              </w:tc>
              <w:tc>
                <w:tcPr>
                  <w:tcW w:w="562" w:type="pct"/>
                  <w:vAlign w:val="center"/>
                </w:tcPr>
                <w:p>
                  <w:pPr>
                    <w:snapToGrid w:val="0"/>
                    <w:jc w:val="center"/>
                    <w:rPr>
                      <w:snapToGrid w:val="0"/>
                      <w:spacing w:val="-11"/>
                      <w:szCs w:val="21"/>
                    </w:rPr>
                  </w:pPr>
                  <w:r>
                    <w:rPr>
                      <w:snapToGrid w:val="0"/>
                      <w:spacing w:val="-11"/>
                      <w:szCs w:val="21"/>
                    </w:rPr>
                    <w:t>H</w:t>
                  </w:r>
                  <w:r>
                    <w:rPr>
                      <w:snapToGrid w:val="0"/>
                      <w:spacing w:val="-11"/>
                      <w:szCs w:val="21"/>
                      <w:vertAlign w:val="subscript"/>
                    </w:rPr>
                    <w:t>2</w:t>
                  </w:r>
                  <w:r>
                    <w:rPr>
                      <w:snapToGrid w:val="0"/>
                      <w:spacing w:val="-11"/>
                      <w:szCs w:val="21"/>
                    </w:rPr>
                    <w:t>S</w:t>
                  </w:r>
                </w:p>
              </w:tc>
              <w:tc>
                <w:tcPr>
                  <w:tcW w:w="514" w:type="pct"/>
                  <w:vAlign w:val="center"/>
                </w:tcPr>
                <w:p>
                  <w:pPr>
                    <w:snapToGrid w:val="0"/>
                    <w:jc w:val="center"/>
                    <w:rPr>
                      <w:szCs w:val="21"/>
                    </w:rPr>
                  </w:pPr>
                  <w:r>
                    <w:rPr>
                      <w:szCs w:val="21"/>
                    </w:rPr>
                    <w:t>/</w:t>
                  </w:r>
                </w:p>
              </w:tc>
              <w:tc>
                <w:tcPr>
                  <w:tcW w:w="603" w:type="pct"/>
                  <w:vAlign w:val="center"/>
                </w:tcPr>
                <w:p>
                  <w:pPr>
                    <w:snapToGrid w:val="0"/>
                    <w:jc w:val="center"/>
                    <w:rPr>
                      <w:spacing w:val="-6"/>
                      <w:szCs w:val="21"/>
                    </w:rPr>
                  </w:pPr>
                  <w:r>
                    <w:rPr>
                      <w:spacing w:val="-6"/>
                      <w:szCs w:val="21"/>
                    </w:rPr>
                    <w:t>0.12</w:t>
                  </w:r>
                  <w:r>
                    <w:rPr>
                      <w:bCs/>
                      <w:snapToGrid w:val="0"/>
                      <w:spacing w:val="-10"/>
                      <w:szCs w:val="21"/>
                    </w:rPr>
                    <w:t xml:space="preserve"> kg/a</w:t>
                  </w:r>
                </w:p>
              </w:tc>
              <w:tc>
                <w:tcPr>
                  <w:tcW w:w="568" w:type="pct"/>
                  <w:vMerge w:val="continue"/>
                  <w:vAlign w:val="center"/>
                </w:tcPr>
                <w:p>
                  <w:pPr>
                    <w:snapToGrid w:val="0"/>
                    <w:jc w:val="center"/>
                    <w:rPr>
                      <w:szCs w:val="21"/>
                    </w:rPr>
                  </w:pPr>
                </w:p>
              </w:tc>
              <w:tc>
                <w:tcPr>
                  <w:tcW w:w="739" w:type="pct"/>
                  <w:vMerge w:val="continue"/>
                  <w:vAlign w:val="center"/>
                </w:tcPr>
                <w:p>
                  <w:pPr>
                    <w:snapToGrid w:val="0"/>
                    <w:jc w:val="center"/>
                    <w:rPr>
                      <w:szCs w:val="21"/>
                    </w:rPr>
                  </w:pPr>
                </w:p>
              </w:tc>
              <w:tc>
                <w:tcPr>
                  <w:tcW w:w="485" w:type="pct"/>
                  <w:vAlign w:val="center"/>
                </w:tcPr>
                <w:p>
                  <w:pPr>
                    <w:snapToGrid w:val="0"/>
                    <w:jc w:val="center"/>
                    <w:rPr>
                      <w:szCs w:val="21"/>
                    </w:rPr>
                  </w:pPr>
                  <w:r>
                    <w:rPr>
                      <w:szCs w:val="21"/>
                    </w:rPr>
                    <w:t>/</w:t>
                  </w:r>
                </w:p>
              </w:tc>
              <w:tc>
                <w:tcPr>
                  <w:tcW w:w="695" w:type="pct"/>
                  <w:vAlign w:val="center"/>
                </w:tcPr>
                <w:p>
                  <w:pPr>
                    <w:snapToGrid w:val="0"/>
                    <w:jc w:val="center"/>
                    <w:rPr>
                      <w:spacing w:val="-11"/>
                      <w:szCs w:val="21"/>
                    </w:rPr>
                  </w:pPr>
                  <w:r>
                    <w:rPr>
                      <w:spacing w:val="-11"/>
                      <w:szCs w:val="21"/>
                    </w:rPr>
                    <w:t>0.005</w:t>
                  </w:r>
                  <w:r>
                    <w:rPr>
                      <w:bCs/>
                      <w:snapToGrid w:val="0"/>
                      <w:spacing w:val="-10"/>
                      <w:szCs w:val="21"/>
                    </w:rPr>
                    <w:t>kg/a</w:t>
                  </w:r>
                </w:p>
              </w:tc>
              <w:tc>
                <w:tcPr>
                  <w:tcW w:w="437" w:type="pct"/>
                  <w:vMerge w:val="continue"/>
                  <w:vAlign w:val="center"/>
                </w:tcPr>
                <w:p>
                  <w:pPr>
                    <w:snapToGrid w:val="0"/>
                    <w:jc w:val="center"/>
                    <w:rPr>
                      <w:snapToGrid w:val="0"/>
                      <w:spacing w:val="-1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pPr>
                    <w:snapToGrid w:val="0"/>
                    <w:jc w:val="center"/>
                    <w:rPr>
                      <w:snapToGrid w:val="0"/>
                      <w:spacing w:val="-11"/>
                      <w:szCs w:val="21"/>
                    </w:rPr>
                  </w:pPr>
                  <w:r>
                    <w:rPr>
                      <w:snapToGrid w:val="0"/>
                      <w:spacing w:val="-11"/>
                      <w:szCs w:val="21"/>
                    </w:rPr>
                    <w:t>燃气锅炉</w:t>
                  </w:r>
                </w:p>
              </w:tc>
              <w:tc>
                <w:tcPr>
                  <w:tcW w:w="562" w:type="pct"/>
                  <w:vAlign w:val="center"/>
                </w:tcPr>
                <w:p>
                  <w:pPr>
                    <w:adjustRightInd w:val="0"/>
                    <w:snapToGrid w:val="0"/>
                    <w:jc w:val="center"/>
                    <w:rPr>
                      <w:szCs w:val="21"/>
                    </w:rPr>
                  </w:pPr>
                  <w:r>
                    <w:rPr>
                      <w:szCs w:val="21"/>
                    </w:rPr>
                    <w:t>SO</w:t>
                  </w:r>
                  <w:r>
                    <w:rPr>
                      <w:szCs w:val="21"/>
                      <w:vertAlign w:val="subscript"/>
                    </w:rPr>
                    <w:t>2</w:t>
                  </w:r>
                </w:p>
              </w:tc>
              <w:tc>
                <w:tcPr>
                  <w:tcW w:w="514" w:type="pct"/>
                  <w:vAlign w:val="center"/>
                </w:tcPr>
                <w:p>
                  <w:pPr>
                    <w:adjustRightInd w:val="0"/>
                    <w:snapToGrid w:val="0"/>
                    <w:jc w:val="center"/>
                    <w:rPr>
                      <w:szCs w:val="21"/>
                    </w:rPr>
                  </w:pPr>
                  <w:r>
                    <w:rPr>
                      <w:szCs w:val="21"/>
                    </w:rPr>
                    <w:t>18.56</w:t>
                  </w:r>
                </w:p>
              </w:tc>
              <w:tc>
                <w:tcPr>
                  <w:tcW w:w="603" w:type="pct"/>
                  <w:vAlign w:val="center"/>
                </w:tcPr>
                <w:p>
                  <w:pPr>
                    <w:adjustRightInd w:val="0"/>
                    <w:snapToGrid w:val="0"/>
                    <w:jc w:val="center"/>
                    <w:rPr>
                      <w:szCs w:val="21"/>
                    </w:rPr>
                  </w:pPr>
                  <w:r>
                    <w:rPr>
                      <w:szCs w:val="21"/>
                    </w:rPr>
                    <w:t>0.036</w:t>
                  </w:r>
                </w:p>
              </w:tc>
              <w:tc>
                <w:tcPr>
                  <w:tcW w:w="568" w:type="pct"/>
                  <w:vMerge w:val="restart"/>
                  <w:vAlign w:val="center"/>
                </w:tcPr>
                <w:p>
                  <w:pPr>
                    <w:snapToGrid w:val="0"/>
                    <w:jc w:val="center"/>
                    <w:rPr>
                      <w:szCs w:val="21"/>
                    </w:rPr>
                  </w:pPr>
                  <w:r>
                    <w:rPr>
                      <w:szCs w:val="21"/>
                    </w:rPr>
                    <w:t>有组织</w:t>
                  </w:r>
                </w:p>
              </w:tc>
              <w:tc>
                <w:tcPr>
                  <w:tcW w:w="739" w:type="pct"/>
                  <w:vMerge w:val="restart"/>
                  <w:vAlign w:val="center"/>
                </w:tcPr>
                <w:p>
                  <w:pPr>
                    <w:snapToGrid w:val="0"/>
                    <w:jc w:val="center"/>
                    <w:rPr>
                      <w:szCs w:val="21"/>
                    </w:rPr>
                  </w:pPr>
                  <w:r>
                    <w:rPr>
                      <w:szCs w:val="21"/>
                    </w:rPr>
                    <w:t>低氮燃烧器</w:t>
                  </w:r>
                  <w:r>
                    <w:rPr>
                      <w:rFonts w:hint="eastAsia"/>
                      <w:szCs w:val="21"/>
                    </w:rPr>
                    <w:t>+</w:t>
                  </w:r>
                  <w:r>
                    <w:rPr>
                      <w:szCs w:val="21"/>
                    </w:rPr>
                    <w:t>28.7m</w:t>
                  </w:r>
                  <w:r>
                    <w:rPr>
                      <w:rFonts w:hint="eastAsia"/>
                      <w:szCs w:val="21"/>
                    </w:rPr>
                    <w:t>高排气筒</w:t>
                  </w:r>
                </w:p>
              </w:tc>
              <w:tc>
                <w:tcPr>
                  <w:tcW w:w="485" w:type="pct"/>
                  <w:vAlign w:val="center"/>
                </w:tcPr>
                <w:p>
                  <w:pPr>
                    <w:adjustRightInd w:val="0"/>
                    <w:snapToGrid w:val="0"/>
                    <w:jc w:val="center"/>
                    <w:rPr>
                      <w:szCs w:val="21"/>
                    </w:rPr>
                  </w:pPr>
                  <w:r>
                    <w:rPr>
                      <w:szCs w:val="21"/>
                    </w:rPr>
                    <w:t>18.56</w:t>
                  </w:r>
                </w:p>
              </w:tc>
              <w:tc>
                <w:tcPr>
                  <w:tcW w:w="695" w:type="pct"/>
                  <w:vAlign w:val="center"/>
                </w:tcPr>
                <w:p>
                  <w:pPr>
                    <w:adjustRightInd w:val="0"/>
                    <w:snapToGrid w:val="0"/>
                    <w:jc w:val="center"/>
                    <w:rPr>
                      <w:szCs w:val="21"/>
                    </w:rPr>
                  </w:pPr>
                  <w:r>
                    <w:rPr>
                      <w:szCs w:val="21"/>
                    </w:rPr>
                    <w:t>0.036</w:t>
                  </w:r>
                </w:p>
              </w:tc>
              <w:tc>
                <w:tcPr>
                  <w:tcW w:w="437" w:type="pct"/>
                  <w:vMerge w:val="restart"/>
                  <w:vAlign w:val="center"/>
                </w:tcPr>
                <w:p>
                  <w:pPr>
                    <w:snapToGrid w:val="0"/>
                    <w:jc w:val="center"/>
                    <w:rPr>
                      <w:szCs w:val="21"/>
                    </w:rPr>
                  </w:pPr>
                  <w:r>
                    <w:rPr>
                      <w:szCs w:val="21"/>
                    </w:rPr>
                    <w:t>排气筒P2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pPr>
                    <w:snapToGrid w:val="0"/>
                    <w:jc w:val="center"/>
                    <w:rPr>
                      <w:snapToGrid w:val="0"/>
                      <w:spacing w:val="-11"/>
                      <w:szCs w:val="21"/>
                    </w:rPr>
                  </w:pPr>
                </w:p>
              </w:tc>
              <w:tc>
                <w:tcPr>
                  <w:tcW w:w="562" w:type="pct"/>
                  <w:vAlign w:val="center"/>
                </w:tcPr>
                <w:p>
                  <w:pPr>
                    <w:adjustRightInd w:val="0"/>
                    <w:snapToGrid w:val="0"/>
                    <w:jc w:val="center"/>
                    <w:rPr>
                      <w:szCs w:val="21"/>
                    </w:rPr>
                  </w:pPr>
                  <w:r>
                    <w:rPr>
                      <w:szCs w:val="21"/>
                    </w:rPr>
                    <w:t>NO</w:t>
                  </w:r>
                  <w:r>
                    <w:rPr>
                      <w:szCs w:val="21"/>
                      <w:vertAlign w:val="subscript"/>
                    </w:rPr>
                    <w:t>X</w:t>
                  </w:r>
                </w:p>
              </w:tc>
              <w:tc>
                <w:tcPr>
                  <w:tcW w:w="514" w:type="pct"/>
                  <w:vAlign w:val="center"/>
                </w:tcPr>
                <w:p>
                  <w:pPr>
                    <w:adjustRightInd w:val="0"/>
                    <w:snapToGrid w:val="0"/>
                    <w:jc w:val="center"/>
                    <w:rPr>
                      <w:szCs w:val="21"/>
                    </w:rPr>
                  </w:pPr>
                  <w:r>
                    <w:rPr>
                      <w:szCs w:val="21"/>
                    </w:rPr>
                    <w:t>28.36</w:t>
                  </w:r>
                </w:p>
              </w:tc>
              <w:tc>
                <w:tcPr>
                  <w:tcW w:w="603" w:type="pct"/>
                  <w:vAlign w:val="center"/>
                </w:tcPr>
                <w:p>
                  <w:pPr>
                    <w:adjustRightInd w:val="0"/>
                    <w:snapToGrid w:val="0"/>
                    <w:jc w:val="center"/>
                    <w:rPr>
                      <w:szCs w:val="21"/>
                    </w:rPr>
                  </w:pPr>
                  <w:r>
                    <w:rPr>
                      <w:szCs w:val="21"/>
                    </w:rPr>
                    <w:t>0.055</w:t>
                  </w:r>
                </w:p>
              </w:tc>
              <w:tc>
                <w:tcPr>
                  <w:tcW w:w="568" w:type="pct"/>
                  <w:vMerge w:val="continue"/>
                  <w:vAlign w:val="center"/>
                </w:tcPr>
                <w:p>
                  <w:pPr>
                    <w:snapToGrid w:val="0"/>
                    <w:jc w:val="center"/>
                    <w:rPr>
                      <w:szCs w:val="21"/>
                    </w:rPr>
                  </w:pPr>
                </w:p>
              </w:tc>
              <w:tc>
                <w:tcPr>
                  <w:tcW w:w="739" w:type="pct"/>
                  <w:vMerge w:val="continue"/>
                  <w:vAlign w:val="center"/>
                </w:tcPr>
                <w:p>
                  <w:pPr>
                    <w:snapToGrid w:val="0"/>
                    <w:jc w:val="center"/>
                    <w:rPr>
                      <w:szCs w:val="21"/>
                    </w:rPr>
                  </w:pPr>
                </w:p>
              </w:tc>
              <w:tc>
                <w:tcPr>
                  <w:tcW w:w="485" w:type="pct"/>
                  <w:vAlign w:val="center"/>
                </w:tcPr>
                <w:p>
                  <w:pPr>
                    <w:adjustRightInd w:val="0"/>
                    <w:snapToGrid w:val="0"/>
                    <w:jc w:val="center"/>
                    <w:rPr>
                      <w:szCs w:val="21"/>
                    </w:rPr>
                  </w:pPr>
                  <w:r>
                    <w:rPr>
                      <w:szCs w:val="21"/>
                    </w:rPr>
                    <w:t>28.36</w:t>
                  </w:r>
                </w:p>
              </w:tc>
              <w:tc>
                <w:tcPr>
                  <w:tcW w:w="695" w:type="pct"/>
                  <w:vAlign w:val="center"/>
                </w:tcPr>
                <w:p>
                  <w:pPr>
                    <w:adjustRightInd w:val="0"/>
                    <w:snapToGrid w:val="0"/>
                    <w:jc w:val="center"/>
                    <w:rPr>
                      <w:szCs w:val="21"/>
                    </w:rPr>
                  </w:pPr>
                  <w:r>
                    <w:rPr>
                      <w:szCs w:val="21"/>
                    </w:rPr>
                    <w:t>0.055</w:t>
                  </w:r>
                </w:p>
              </w:tc>
              <w:tc>
                <w:tcPr>
                  <w:tcW w:w="437" w:type="pct"/>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pPr>
                    <w:snapToGrid w:val="0"/>
                    <w:jc w:val="center"/>
                    <w:rPr>
                      <w:snapToGrid w:val="0"/>
                      <w:spacing w:val="-11"/>
                      <w:szCs w:val="21"/>
                    </w:rPr>
                  </w:pPr>
                </w:p>
              </w:tc>
              <w:tc>
                <w:tcPr>
                  <w:tcW w:w="562" w:type="pct"/>
                  <w:vAlign w:val="center"/>
                </w:tcPr>
                <w:p>
                  <w:pPr>
                    <w:snapToGrid w:val="0"/>
                    <w:jc w:val="center"/>
                    <w:rPr>
                      <w:snapToGrid w:val="0"/>
                      <w:spacing w:val="-11"/>
                      <w:szCs w:val="21"/>
                    </w:rPr>
                  </w:pPr>
                  <w:r>
                    <w:rPr>
                      <w:szCs w:val="21"/>
                    </w:rPr>
                    <w:t>颗粒物</w:t>
                  </w:r>
                </w:p>
              </w:tc>
              <w:tc>
                <w:tcPr>
                  <w:tcW w:w="514" w:type="pct"/>
                  <w:vAlign w:val="center"/>
                </w:tcPr>
                <w:p>
                  <w:pPr>
                    <w:snapToGrid w:val="0"/>
                    <w:jc w:val="center"/>
                    <w:rPr>
                      <w:szCs w:val="21"/>
                    </w:rPr>
                  </w:pPr>
                  <w:r>
                    <w:rPr>
                      <w:szCs w:val="21"/>
                    </w:rPr>
                    <w:t>7.22</w:t>
                  </w:r>
                </w:p>
              </w:tc>
              <w:tc>
                <w:tcPr>
                  <w:tcW w:w="603" w:type="pct"/>
                  <w:vAlign w:val="center"/>
                </w:tcPr>
                <w:p>
                  <w:pPr>
                    <w:snapToGrid w:val="0"/>
                    <w:jc w:val="center"/>
                    <w:rPr>
                      <w:spacing w:val="-6"/>
                      <w:szCs w:val="21"/>
                    </w:rPr>
                  </w:pPr>
                  <w:r>
                    <w:rPr>
                      <w:szCs w:val="21"/>
                    </w:rPr>
                    <w:t>0.014</w:t>
                  </w:r>
                </w:p>
              </w:tc>
              <w:tc>
                <w:tcPr>
                  <w:tcW w:w="568" w:type="pct"/>
                  <w:vMerge w:val="continue"/>
                  <w:vAlign w:val="center"/>
                </w:tcPr>
                <w:p>
                  <w:pPr>
                    <w:snapToGrid w:val="0"/>
                    <w:jc w:val="center"/>
                    <w:rPr>
                      <w:szCs w:val="21"/>
                    </w:rPr>
                  </w:pPr>
                </w:p>
              </w:tc>
              <w:tc>
                <w:tcPr>
                  <w:tcW w:w="739" w:type="pct"/>
                  <w:vMerge w:val="continue"/>
                  <w:vAlign w:val="center"/>
                </w:tcPr>
                <w:p>
                  <w:pPr>
                    <w:snapToGrid w:val="0"/>
                    <w:jc w:val="center"/>
                    <w:rPr>
                      <w:szCs w:val="21"/>
                    </w:rPr>
                  </w:pPr>
                </w:p>
              </w:tc>
              <w:tc>
                <w:tcPr>
                  <w:tcW w:w="485" w:type="pct"/>
                  <w:vAlign w:val="center"/>
                </w:tcPr>
                <w:p>
                  <w:pPr>
                    <w:snapToGrid w:val="0"/>
                    <w:jc w:val="center"/>
                    <w:rPr>
                      <w:szCs w:val="21"/>
                    </w:rPr>
                  </w:pPr>
                  <w:r>
                    <w:rPr>
                      <w:szCs w:val="21"/>
                    </w:rPr>
                    <w:t>7.22</w:t>
                  </w:r>
                </w:p>
              </w:tc>
              <w:tc>
                <w:tcPr>
                  <w:tcW w:w="695" w:type="pct"/>
                  <w:vAlign w:val="center"/>
                </w:tcPr>
                <w:p>
                  <w:pPr>
                    <w:snapToGrid w:val="0"/>
                    <w:jc w:val="center"/>
                    <w:rPr>
                      <w:spacing w:val="-6"/>
                      <w:szCs w:val="21"/>
                    </w:rPr>
                  </w:pPr>
                  <w:r>
                    <w:rPr>
                      <w:szCs w:val="21"/>
                    </w:rPr>
                    <w:t>0.014</w:t>
                  </w:r>
                </w:p>
              </w:tc>
              <w:tc>
                <w:tcPr>
                  <w:tcW w:w="437" w:type="pct"/>
                  <w:vMerge w:val="continue"/>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pPr>
                    <w:snapToGrid w:val="0"/>
                    <w:jc w:val="center"/>
                    <w:rPr>
                      <w:snapToGrid w:val="0"/>
                      <w:spacing w:val="-11"/>
                      <w:szCs w:val="21"/>
                    </w:rPr>
                  </w:pPr>
                  <w:r>
                    <w:rPr>
                      <w:snapToGrid w:val="0"/>
                      <w:spacing w:val="-11"/>
                      <w:szCs w:val="21"/>
                    </w:rPr>
                    <w:t>油烟废气</w:t>
                  </w:r>
                </w:p>
              </w:tc>
              <w:tc>
                <w:tcPr>
                  <w:tcW w:w="562" w:type="pct"/>
                  <w:vAlign w:val="center"/>
                </w:tcPr>
                <w:p>
                  <w:pPr>
                    <w:snapToGrid w:val="0"/>
                    <w:jc w:val="center"/>
                    <w:rPr>
                      <w:snapToGrid w:val="0"/>
                      <w:spacing w:val="-11"/>
                      <w:szCs w:val="21"/>
                    </w:rPr>
                  </w:pPr>
                  <w:r>
                    <w:rPr>
                      <w:snapToGrid w:val="0"/>
                      <w:spacing w:val="-11"/>
                      <w:szCs w:val="21"/>
                    </w:rPr>
                    <w:t>油烟</w:t>
                  </w:r>
                </w:p>
              </w:tc>
              <w:tc>
                <w:tcPr>
                  <w:tcW w:w="514" w:type="pct"/>
                  <w:vAlign w:val="center"/>
                </w:tcPr>
                <w:p>
                  <w:pPr>
                    <w:snapToGrid w:val="0"/>
                    <w:jc w:val="center"/>
                    <w:rPr>
                      <w:szCs w:val="21"/>
                    </w:rPr>
                  </w:pPr>
                  <w:r>
                    <w:rPr>
                      <w:bCs/>
                      <w:szCs w:val="21"/>
                    </w:rPr>
                    <w:t>4.2</w:t>
                  </w:r>
                </w:p>
              </w:tc>
              <w:tc>
                <w:tcPr>
                  <w:tcW w:w="603" w:type="pct"/>
                  <w:vAlign w:val="center"/>
                </w:tcPr>
                <w:p>
                  <w:pPr>
                    <w:snapToGrid w:val="0"/>
                    <w:jc w:val="center"/>
                    <w:rPr>
                      <w:spacing w:val="-6"/>
                      <w:szCs w:val="21"/>
                    </w:rPr>
                  </w:pPr>
                  <w:r>
                    <w:rPr>
                      <w:bCs/>
                      <w:spacing w:val="-6"/>
                      <w:szCs w:val="21"/>
                    </w:rPr>
                    <w:t>54.75</w:t>
                  </w:r>
                  <w:r>
                    <w:rPr>
                      <w:bCs/>
                      <w:snapToGrid w:val="0"/>
                      <w:spacing w:val="-10"/>
                      <w:szCs w:val="21"/>
                    </w:rPr>
                    <w:t xml:space="preserve"> kg/a</w:t>
                  </w:r>
                </w:p>
              </w:tc>
              <w:tc>
                <w:tcPr>
                  <w:tcW w:w="568" w:type="pct"/>
                  <w:vAlign w:val="center"/>
                </w:tcPr>
                <w:p>
                  <w:pPr>
                    <w:snapToGrid w:val="0"/>
                    <w:jc w:val="center"/>
                    <w:rPr>
                      <w:szCs w:val="21"/>
                    </w:rPr>
                  </w:pPr>
                  <w:r>
                    <w:rPr>
                      <w:szCs w:val="21"/>
                    </w:rPr>
                    <w:t>有组织</w:t>
                  </w:r>
                </w:p>
              </w:tc>
              <w:tc>
                <w:tcPr>
                  <w:tcW w:w="739" w:type="pct"/>
                  <w:vAlign w:val="center"/>
                </w:tcPr>
                <w:p>
                  <w:pPr>
                    <w:snapToGrid w:val="0"/>
                    <w:jc w:val="center"/>
                    <w:rPr>
                      <w:szCs w:val="21"/>
                    </w:rPr>
                  </w:pPr>
                  <w:r>
                    <w:rPr>
                      <w:szCs w:val="21"/>
                    </w:rPr>
                    <w:t>油烟净化器</w:t>
                  </w:r>
                </w:p>
              </w:tc>
              <w:tc>
                <w:tcPr>
                  <w:tcW w:w="485" w:type="pct"/>
                  <w:vAlign w:val="center"/>
                </w:tcPr>
                <w:p>
                  <w:pPr>
                    <w:snapToGrid w:val="0"/>
                    <w:jc w:val="center"/>
                    <w:rPr>
                      <w:szCs w:val="21"/>
                    </w:rPr>
                  </w:pPr>
                  <w:r>
                    <w:rPr>
                      <w:bCs/>
                      <w:szCs w:val="21"/>
                    </w:rPr>
                    <w:t>1.11</w:t>
                  </w:r>
                </w:p>
              </w:tc>
              <w:tc>
                <w:tcPr>
                  <w:tcW w:w="695" w:type="pct"/>
                  <w:vAlign w:val="center"/>
                </w:tcPr>
                <w:p>
                  <w:pPr>
                    <w:snapToGrid w:val="0"/>
                    <w:jc w:val="center"/>
                    <w:rPr>
                      <w:spacing w:val="-11"/>
                      <w:szCs w:val="21"/>
                    </w:rPr>
                  </w:pPr>
                  <w:r>
                    <w:rPr>
                      <w:bCs/>
                      <w:spacing w:val="-11"/>
                      <w:szCs w:val="21"/>
                    </w:rPr>
                    <w:t>14.6</w:t>
                  </w:r>
                  <w:r>
                    <w:rPr>
                      <w:bCs/>
                      <w:snapToGrid w:val="0"/>
                      <w:spacing w:val="-10"/>
                      <w:szCs w:val="21"/>
                    </w:rPr>
                    <w:t xml:space="preserve"> kg/a</w:t>
                  </w:r>
                </w:p>
              </w:tc>
              <w:tc>
                <w:tcPr>
                  <w:tcW w:w="437" w:type="pct"/>
                  <w:vAlign w:val="center"/>
                </w:tcPr>
                <w:p>
                  <w:pPr>
                    <w:snapToGrid w:val="0"/>
                    <w:jc w:val="center"/>
                    <w:rPr>
                      <w:szCs w:val="21"/>
                    </w:rPr>
                  </w:pPr>
                  <w:r>
                    <w:rPr>
                      <w:szCs w:val="21"/>
                    </w:rPr>
                    <w:t>/</w:t>
                  </w:r>
                </w:p>
              </w:tc>
            </w:tr>
          </w:tbl>
          <w:p>
            <w:pPr>
              <w:widowControl/>
              <w:spacing w:line="360" w:lineRule="auto"/>
              <w:ind w:firstLine="480" w:firstLineChars="200"/>
              <w:rPr>
                <w:kern w:val="0"/>
                <w:sz w:val="24"/>
              </w:rPr>
            </w:pPr>
            <w:r>
              <w:rPr>
                <w:rFonts w:hint="eastAsia" w:eastAsia="TimesNewRomanPSMT"/>
                <w:sz w:val="24"/>
              </w:rPr>
              <w:t>（2）</w:t>
            </w:r>
            <w:r>
              <w:rPr>
                <w:rFonts w:hint="eastAsia"/>
                <w:kern w:val="0"/>
                <w:sz w:val="24"/>
              </w:rPr>
              <w:t>污水处理站废气</w:t>
            </w:r>
          </w:p>
          <w:p>
            <w:pPr>
              <w:spacing w:line="360" w:lineRule="auto"/>
              <w:ind w:firstLine="480" w:firstLineChars="200"/>
              <w:rPr>
                <w:sz w:val="24"/>
              </w:rPr>
            </w:pPr>
            <w:r>
              <w:rPr>
                <w:rFonts w:hint="eastAsia" w:ascii="宋体" w:hAnsi="宋体"/>
                <w:sz w:val="24"/>
              </w:rPr>
              <w:t>① 源强及处理措施</w:t>
            </w:r>
          </w:p>
          <w:p>
            <w:pPr>
              <w:spacing w:line="360" w:lineRule="auto"/>
              <w:ind w:firstLine="480" w:firstLineChars="200"/>
              <w:rPr>
                <w:sz w:val="24"/>
              </w:rPr>
            </w:pPr>
            <w:r>
              <w:rPr>
                <w:rFonts w:hint="eastAsia"/>
                <w:sz w:val="24"/>
              </w:rPr>
              <w:t>根据工程分析，在污水处理过程中、污泥暂存过程中均会散发出恶臭，主要为硫化氢、氨气等，具有强烈的刺激性异味，对人体产生很大影响。</w:t>
            </w:r>
          </w:p>
          <w:p>
            <w:pPr>
              <w:spacing w:line="360" w:lineRule="auto"/>
              <w:ind w:firstLine="480" w:firstLineChars="200"/>
              <w:rPr>
                <w:sz w:val="24"/>
              </w:rPr>
            </w:pPr>
            <w:r>
              <w:rPr>
                <w:rFonts w:hint="eastAsia"/>
                <w:sz w:val="24"/>
              </w:rPr>
              <w:t>本项目臭气污染源源强计算采用</w:t>
            </w:r>
            <w:r>
              <w:rPr>
                <w:sz w:val="24"/>
              </w:rPr>
              <w:t>美国</w:t>
            </w:r>
            <w:r>
              <w:rPr>
                <w:rFonts w:eastAsia="TimesNewRomanPSMT"/>
                <w:sz w:val="24"/>
              </w:rPr>
              <w:t>EPA</w:t>
            </w:r>
            <w:r>
              <w:rPr>
                <w:sz w:val="24"/>
              </w:rPr>
              <w:t>对城市污水处理站的恶臭污染物产生情况研究，每处理</w:t>
            </w:r>
            <w:r>
              <w:rPr>
                <w:rFonts w:eastAsia="TimesNewRomanPSMT"/>
                <w:sz w:val="24"/>
              </w:rPr>
              <w:t>1g</w:t>
            </w:r>
            <w:r>
              <w:rPr>
                <w:sz w:val="24"/>
              </w:rPr>
              <w:t>的</w:t>
            </w:r>
            <w:r>
              <w:rPr>
                <w:rFonts w:eastAsia="TimesNewRomanPSMT"/>
                <w:sz w:val="24"/>
              </w:rPr>
              <w:t>BOD</w:t>
            </w:r>
            <w:r>
              <w:rPr>
                <w:rFonts w:eastAsia="TimesNewRomanPSMT"/>
                <w:sz w:val="24"/>
                <w:vertAlign w:val="subscript"/>
              </w:rPr>
              <w:t>5</w:t>
            </w:r>
            <w:r>
              <w:rPr>
                <w:sz w:val="24"/>
              </w:rPr>
              <w:t>可产生</w:t>
            </w:r>
            <w:r>
              <w:rPr>
                <w:rFonts w:eastAsia="TimesNewRomanPSMT"/>
                <w:sz w:val="24"/>
              </w:rPr>
              <w:t>0.0031g</w:t>
            </w:r>
            <w:r>
              <w:rPr>
                <w:sz w:val="24"/>
              </w:rPr>
              <w:t>的</w:t>
            </w:r>
            <w:r>
              <w:rPr>
                <w:rFonts w:eastAsia="TimesNewRomanPSMT"/>
                <w:sz w:val="24"/>
              </w:rPr>
              <w:t>NH</w:t>
            </w:r>
            <w:r>
              <w:rPr>
                <w:rFonts w:eastAsia="TimesNewRomanPSMT"/>
                <w:sz w:val="24"/>
                <w:vertAlign w:val="subscript"/>
              </w:rPr>
              <w:t>3</w:t>
            </w:r>
            <w:r>
              <w:rPr>
                <w:sz w:val="24"/>
              </w:rPr>
              <w:t>和</w:t>
            </w:r>
            <w:r>
              <w:rPr>
                <w:rFonts w:eastAsia="TimesNewRomanPSMT"/>
                <w:sz w:val="24"/>
              </w:rPr>
              <w:t>0.00012g</w:t>
            </w:r>
            <w:r>
              <w:rPr>
                <w:sz w:val="24"/>
              </w:rPr>
              <w:t>的</w:t>
            </w:r>
            <w:r>
              <w:rPr>
                <w:rFonts w:eastAsia="TimesNewRomanPSMT"/>
                <w:sz w:val="24"/>
              </w:rPr>
              <w:t>H</w:t>
            </w:r>
            <w:r>
              <w:rPr>
                <w:rFonts w:eastAsia="TimesNewRomanPSMT"/>
                <w:sz w:val="24"/>
                <w:vertAlign w:val="subscript"/>
              </w:rPr>
              <w:t>2</w:t>
            </w:r>
            <w:r>
              <w:rPr>
                <w:rFonts w:eastAsia="TimesNewRomanPSMT"/>
                <w:sz w:val="24"/>
              </w:rPr>
              <w:t>S</w:t>
            </w:r>
            <w:r>
              <w:rPr>
                <w:sz w:val="24"/>
              </w:rPr>
              <w:t>。本项目建成后废水产生量为16770.49m</w:t>
            </w:r>
            <w:r>
              <w:rPr>
                <w:sz w:val="24"/>
                <w:vertAlign w:val="superscript"/>
              </w:rPr>
              <w:t>3</w:t>
            </w:r>
            <w:r>
              <w:rPr>
                <w:sz w:val="24"/>
              </w:rPr>
              <w:t>/a，</w:t>
            </w:r>
            <w:r>
              <w:rPr>
                <w:rFonts w:eastAsia="TimesNewRomanPSMT"/>
                <w:sz w:val="24"/>
              </w:rPr>
              <w:t>BOD</w:t>
            </w:r>
            <w:r>
              <w:rPr>
                <w:rFonts w:eastAsia="TimesNewRomanPSMT"/>
                <w:sz w:val="24"/>
                <w:vertAlign w:val="subscript"/>
              </w:rPr>
              <w:t>5</w:t>
            </w:r>
            <w:r>
              <w:rPr>
                <w:sz w:val="24"/>
              </w:rPr>
              <w:t>处理量为</w:t>
            </w:r>
            <w:r>
              <w:rPr>
                <w:rFonts w:hint="eastAsia" w:eastAsia="TimesNewRomanPSMT"/>
                <w:sz w:val="24"/>
              </w:rPr>
              <w:t>1</w:t>
            </w:r>
            <w:r>
              <w:rPr>
                <w:rFonts w:eastAsia="TimesNewRomanPSMT"/>
                <w:sz w:val="24"/>
              </w:rPr>
              <w:t>.</w:t>
            </w:r>
            <w:r>
              <w:rPr>
                <w:rFonts w:hint="eastAsia"/>
                <w:sz w:val="24"/>
              </w:rPr>
              <w:t>0</w:t>
            </w:r>
            <w:r>
              <w:rPr>
                <w:sz w:val="24"/>
              </w:rPr>
              <w:t>1</w:t>
            </w:r>
            <w:r>
              <w:rPr>
                <w:rFonts w:eastAsia="TimesNewRomanPSMT"/>
                <w:sz w:val="24"/>
              </w:rPr>
              <w:t>t/a</w:t>
            </w:r>
            <w:r>
              <w:rPr>
                <w:sz w:val="24"/>
              </w:rPr>
              <w:t>，则</w:t>
            </w:r>
            <w:r>
              <w:rPr>
                <w:rFonts w:eastAsia="TimesNewRomanPSMT"/>
                <w:sz w:val="24"/>
              </w:rPr>
              <w:t>NH</w:t>
            </w:r>
            <w:r>
              <w:rPr>
                <w:rFonts w:eastAsia="TimesNewRomanPSMT"/>
                <w:sz w:val="24"/>
                <w:vertAlign w:val="subscript"/>
              </w:rPr>
              <w:t>3</w:t>
            </w:r>
            <w:r>
              <w:rPr>
                <w:sz w:val="24"/>
              </w:rPr>
              <w:t>、</w:t>
            </w:r>
            <w:r>
              <w:rPr>
                <w:rFonts w:eastAsia="TimesNewRomanPSMT"/>
                <w:sz w:val="24"/>
              </w:rPr>
              <w:t>H</w:t>
            </w:r>
            <w:r>
              <w:rPr>
                <w:rFonts w:eastAsia="TimesNewRomanPSMT"/>
                <w:sz w:val="24"/>
                <w:vertAlign w:val="subscript"/>
              </w:rPr>
              <w:t>2</w:t>
            </w:r>
            <w:r>
              <w:rPr>
                <w:rFonts w:eastAsia="TimesNewRomanPSMT"/>
                <w:sz w:val="24"/>
              </w:rPr>
              <w:t>S</w:t>
            </w:r>
            <w:r>
              <w:rPr>
                <w:sz w:val="24"/>
              </w:rPr>
              <w:t>产生量为</w:t>
            </w:r>
            <w:r>
              <w:rPr>
                <w:rFonts w:hint="eastAsia"/>
                <w:sz w:val="24"/>
              </w:rPr>
              <w:t>3.1</w:t>
            </w:r>
            <w:r>
              <w:rPr>
                <w:rFonts w:eastAsia="TimesNewRomanPSMT"/>
                <w:sz w:val="24"/>
              </w:rPr>
              <w:t>kg/a</w:t>
            </w:r>
            <w:r>
              <w:rPr>
                <w:sz w:val="24"/>
              </w:rPr>
              <w:t>、</w:t>
            </w:r>
            <w:r>
              <w:rPr>
                <w:rFonts w:eastAsia="TimesNewRomanPSMT"/>
                <w:sz w:val="24"/>
              </w:rPr>
              <w:t>0.</w:t>
            </w:r>
            <w:r>
              <w:rPr>
                <w:rFonts w:hint="eastAsia" w:eastAsia="TimesNewRomanPSMT"/>
                <w:sz w:val="24"/>
              </w:rPr>
              <w:t>12</w:t>
            </w:r>
            <w:r>
              <w:rPr>
                <w:rFonts w:eastAsia="TimesNewRomanPSMT"/>
                <w:sz w:val="24"/>
              </w:rPr>
              <w:t>kg/a</w:t>
            </w:r>
            <w:r>
              <w:rPr>
                <w:sz w:val="24"/>
              </w:rPr>
              <w:t>。</w:t>
            </w:r>
          </w:p>
          <w:p>
            <w:pPr>
              <w:spacing w:line="360" w:lineRule="auto"/>
              <w:ind w:firstLine="480" w:firstLineChars="200"/>
              <w:rPr>
                <w:sz w:val="24"/>
              </w:rPr>
            </w:pPr>
            <w:r>
              <w:rPr>
                <w:rFonts w:hint="eastAsia"/>
                <w:sz w:val="24"/>
              </w:rPr>
              <w:t>本项目处理装置密闭</w:t>
            </w:r>
            <w:r>
              <w:rPr>
                <w:sz w:val="24"/>
              </w:rPr>
              <w:t>，</w:t>
            </w:r>
            <w:r>
              <w:rPr>
                <w:rFonts w:hint="eastAsia"/>
                <w:sz w:val="24"/>
              </w:rPr>
              <w:t>臭气集中收集后采用活性炭吸附装置（净化效率约7</w:t>
            </w:r>
            <w:r>
              <w:rPr>
                <w:sz w:val="24"/>
              </w:rPr>
              <w:t>0%</w:t>
            </w:r>
            <w:r>
              <w:rPr>
                <w:rFonts w:hint="eastAsia"/>
                <w:sz w:val="24"/>
              </w:rPr>
              <w:t>）进行处理后通过1</w:t>
            </w:r>
            <w:r>
              <w:rPr>
                <w:sz w:val="24"/>
              </w:rPr>
              <w:t>5m</w:t>
            </w:r>
            <w:r>
              <w:rPr>
                <w:rFonts w:hint="eastAsia"/>
                <w:sz w:val="24"/>
              </w:rPr>
              <w:t>高排气筒排放，</w:t>
            </w:r>
            <w:r>
              <w:rPr>
                <w:sz w:val="24"/>
              </w:rPr>
              <w:t>最终排放量为NH</w:t>
            </w:r>
            <w:r>
              <w:rPr>
                <w:sz w:val="24"/>
                <w:vertAlign w:val="subscript"/>
              </w:rPr>
              <w:t>3</w:t>
            </w:r>
            <w:r>
              <w:rPr>
                <w:sz w:val="24"/>
              </w:rPr>
              <w:t>0.93kg/a（0.11g/h），H</w:t>
            </w:r>
            <w:r>
              <w:rPr>
                <w:sz w:val="24"/>
                <w:vertAlign w:val="subscript"/>
              </w:rPr>
              <w:t>2</w:t>
            </w:r>
            <w:r>
              <w:rPr>
                <w:sz w:val="24"/>
              </w:rPr>
              <w:t>S0.04kg/a（0.005g/h），能够满足《恶臭污染物排放标准》（GB14554-93）表2中的标准要求</w:t>
            </w:r>
            <w:r>
              <w:rPr>
                <w:rFonts w:hint="eastAsia"/>
                <w:sz w:val="24"/>
              </w:rPr>
              <w:t>以及</w:t>
            </w:r>
            <w:r>
              <w:rPr>
                <w:sz w:val="24"/>
              </w:rPr>
              <w:t>《医疗机构水污染物排放标准》（GB18466-2005）表3中污水处理站周边大气污染物最高允许浓度限值要求。</w:t>
            </w:r>
          </w:p>
          <w:p>
            <w:pPr>
              <w:snapToGrid w:val="0"/>
              <w:spacing w:line="360" w:lineRule="auto"/>
              <w:ind w:firstLine="480" w:firstLineChars="200"/>
              <w:rPr>
                <w:sz w:val="24"/>
              </w:rPr>
            </w:pPr>
            <w:r>
              <w:rPr>
                <w:rFonts w:hint="eastAsia"/>
                <w:sz w:val="24"/>
              </w:rPr>
              <w:t>本次环评要求建设单位定期喷洒除臭药剂，通过以上处理，污水处理站废气不会对周围环境空气及周围敏感点产生明显不利影响，因此本项目污水处理站废气污染防治措施从环保角度分析是可行的。</w:t>
            </w:r>
          </w:p>
          <w:p>
            <w:pPr>
              <w:snapToGrid w:val="0"/>
              <w:spacing w:line="360" w:lineRule="auto"/>
              <w:ind w:firstLine="480" w:firstLineChars="200"/>
              <w:rPr>
                <w:sz w:val="24"/>
              </w:rPr>
            </w:pPr>
            <w:r>
              <w:rPr>
                <w:rFonts w:hint="eastAsia" w:ascii="宋体" w:hAnsi="宋体" w:cs="宋体"/>
                <w:sz w:val="24"/>
              </w:rPr>
              <w:t>②</w:t>
            </w:r>
            <w:r>
              <w:rPr>
                <w:rFonts w:hint="eastAsia"/>
                <w:sz w:val="24"/>
              </w:rPr>
              <w:t>污水处理站布置的合理性</w:t>
            </w:r>
          </w:p>
          <w:p>
            <w:pPr>
              <w:snapToGrid w:val="0"/>
              <w:spacing w:line="360" w:lineRule="auto"/>
              <w:ind w:firstLine="480" w:firstLineChars="200"/>
              <w:rPr>
                <w:sz w:val="24"/>
              </w:rPr>
            </w:pPr>
            <w:r>
              <w:rPr>
                <w:rFonts w:hint="eastAsia"/>
                <w:sz w:val="24"/>
              </w:rPr>
              <w:t>依据《医院污水处理工程技术规范》（HJ2029-2013），污水站选址宜设在医院主体建筑物夏季主导风向的下风向，污水站与病房、居民区等建筑物之间应设绿化保护带或隔离带，以减少恶臭气体及噪声的环境影响。</w:t>
            </w:r>
          </w:p>
          <w:p>
            <w:pPr>
              <w:snapToGrid w:val="0"/>
              <w:spacing w:line="360" w:lineRule="auto"/>
              <w:ind w:firstLine="480" w:firstLineChars="200"/>
              <w:rPr>
                <w:color w:val="00B0F0"/>
                <w:sz w:val="24"/>
              </w:rPr>
            </w:pPr>
            <w:r>
              <w:rPr>
                <w:rFonts w:hint="eastAsia"/>
                <w:sz w:val="24"/>
              </w:rPr>
              <w:t>本项目污水处理站位于主体建筑物东南侧，根据当地气象资料可知，本项目污水处理站位于主体建筑的下风向。且项目采用污水处理站设施密闭，场区空地进行景观绿化。因此，本项目污水处理站布置合理。</w:t>
            </w:r>
          </w:p>
          <w:p>
            <w:pPr>
              <w:widowControl/>
              <w:spacing w:line="360" w:lineRule="auto"/>
              <w:ind w:firstLine="480" w:firstLineChars="200"/>
              <w:contextualSpacing/>
              <w:rPr>
                <w:sz w:val="24"/>
              </w:rPr>
            </w:pPr>
            <w:r>
              <w:rPr>
                <w:rFonts w:hint="eastAsia"/>
                <w:sz w:val="24"/>
              </w:rPr>
              <w:t>（3）锅炉废气</w:t>
            </w:r>
          </w:p>
          <w:p>
            <w:pPr>
              <w:spacing w:line="360" w:lineRule="auto"/>
              <w:ind w:firstLine="480" w:firstLineChars="200"/>
              <w:rPr>
                <w:kern w:val="0"/>
                <w:sz w:val="24"/>
              </w:rPr>
            </w:pPr>
            <w:r>
              <w:rPr>
                <w:rFonts w:hint="eastAsia" w:ascii="宋体" w:hAnsi="宋体"/>
                <w:sz w:val="24"/>
              </w:rPr>
              <w:t>①源强及处理措施</w:t>
            </w:r>
          </w:p>
          <w:p>
            <w:pPr>
              <w:spacing w:line="360" w:lineRule="auto"/>
              <w:ind w:firstLine="480" w:firstLineChars="200"/>
              <w:rPr>
                <w:kern w:val="0"/>
                <w:sz w:val="24"/>
              </w:rPr>
            </w:pPr>
            <w:r>
              <w:rPr>
                <w:rFonts w:hint="eastAsia"/>
                <w:kern w:val="0"/>
                <w:sz w:val="24"/>
              </w:rPr>
              <w:t>本项目锅炉房一座，设</w:t>
            </w:r>
            <w:bookmarkStart w:id="12" w:name="_Hlk102506062"/>
            <w:r>
              <w:rPr>
                <w:rFonts w:hint="eastAsia"/>
                <w:kern w:val="0"/>
                <w:sz w:val="24"/>
              </w:rPr>
              <w:t>有1台2t/h供暖锅炉</w:t>
            </w:r>
            <w:bookmarkEnd w:id="12"/>
            <w:r>
              <w:rPr>
                <w:rFonts w:hint="eastAsia"/>
                <w:kern w:val="0"/>
                <w:sz w:val="24"/>
              </w:rPr>
              <w:t>，锅炉燃料为天然气，由管道运输，不设天然气储罐。</w:t>
            </w:r>
          </w:p>
          <w:p>
            <w:pPr>
              <w:spacing w:line="360" w:lineRule="auto"/>
              <w:ind w:firstLine="480" w:firstLineChars="200"/>
              <w:rPr>
                <w:kern w:val="0"/>
                <w:sz w:val="24"/>
              </w:rPr>
            </w:pPr>
            <w:r>
              <w:rPr>
                <w:rFonts w:hint="eastAsia"/>
                <w:kern w:val="0"/>
                <w:sz w:val="24"/>
              </w:rPr>
              <w:t>根据设计单位提供的相关资料，本项目建成后，锅炉天然气年总耗量为</w:t>
            </w:r>
            <w:r>
              <w:rPr>
                <w:kern w:val="0"/>
                <w:sz w:val="24"/>
              </w:rPr>
              <w:t>18</w:t>
            </w:r>
            <w:r>
              <w:rPr>
                <w:rFonts w:hint="eastAsia"/>
                <w:kern w:val="0"/>
                <w:sz w:val="24"/>
              </w:rPr>
              <w:t>万m</w:t>
            </w:r>
            <w:r>
              <w:rPr>
                <w:rFonts w:hint="eastAsia"/>
                <w:kern w:val="0"/>
                <w:sz w:val="24"/>
                <w:vertAlign w:val="superscript"/>
              </w:rPr>
              <w:t>3</w:t>
            </w:r>
            <w:r>
              <w:rPr>
                <w:rFonts w:hint="eastAsia"/>
                <w:kern w:val="0"/>
                <w:sz w:val="24"/>
              </w:rPr>
              <w:t>。</w:t>
            </w:r>
            <w:bookmarkStart w:id="13" w:name="_Hlk102506071"/>
            <w:r>
              <w:rPr>
                <w:kern w:val="0"/>
                <w:sz w:val="24"/>
              </w:rPr>
              <w:t>锅炉配备低氮燃烧器，锅炉燃烧废气</w:t>
            </w:r>
            <w:r>
              <w:rPr>
                <w:rFonts w:hint="eastAsia"/>
                <w:kern w:val="0"/>
                <w:sz w:val="24"/>
              </w:rPr>
              <w:t>经集气管道收集后由1根</w:t>
            </w:r>
            <w:r>
              <w:rPr>
                <w:kern w:val="0"/>
                <w:sz w:val="24"/>
              </w:rPr>
              <w:t>28.7</w:t>
            </w:r>
            <w:r>
              <w:rPr>
                <w:rFonts w:hint="eastAsia"/>
                <w:kern w:val="0"/>
                <w:sz w:val="24"/>
              </w:rPr>
              <w:t>m高排气筒排放（P</w:t>
            </w:r>
            <w:r>
              <w:rPr>
                <w:kern w:val="0"/>
                <w:sz w:val="24"/>
              </w:rPr>
              <w:t>2</w:t>
            </w:r>
            <w:r>
              <w:rPr>
                <w:rFonts w:hint="eastAsia"/>
                <w:kern w:val="0"/>
                <w:sz w:val="24"/>
              </w:rPr>
              <w:t>）。</w:t>
            </w:r>
            <w:bookmarkEnd w:id="13"/>
          </w:p>
          <w:p>
            <w:pPr>
              <w:spacing w:line="360" w:lineRule="auto"/>
              <w:ind w:firstLine="480" w:firstLineChars="200"/>
              <w:rPr>
                <w:kern w:val="0"/>
                <w:sz w:val="24"/>
              </w:rPr>
            </w:pPr>
            <w:r>
              <w:rPr>
                <w:rFonts w:hint="eastAsia"/>
                <w:kern w:val="0"/>
                <w:sz w:val="24"/>
              </w:rPr>
              <w:t>根据</w:t>
            </w:r>
            <w:r>
              <w:rPr>
                <w:kern w:val="0"/>
                <w:sz w:val="24"/>
              </w:rPr>
              <w:t>《排放源统计调查产排污核算方法和系数手册》</w:t>
            </w:r>
            <w:r>
              <w:rPr>
                <w:rFonts w:hint="eastAsia"/>
                <w:kern w:val="0"/>
                <w:sz w:val="24"/>
              </w:rPr>
              <w:t>中“4430热力生产和供应行业”可知天然气燃烧产污系数为：工业废气量107753Nm</w:t>
            </w:r>
            <w:r>
              <w:rPr>
                <w:rFonts w:hint="eastAsia"/>
                <w:kern w:val="0"/>
                <w:sz w:val="24"/>
                <w:vertAlign w:val="superscript"/>
              </w:rPr>
              <w:t>3</w:t>
            </w:r>
            <w:r>
              <w:rPr>
                <w:rFonts w:hint="eastAsia"/>
                <w:kern w:val="0"/>
                <w:sz w:val="24"/>
              </w:rPr>
              <w:t>/万m</w:t>
            </w:r>
            <w:r>
              <w:rPr>
                <w:rFonts w:hint="eastAsia"/>
                <w:kern w:val="0"/>
                <w:sz w:val="24"/>
                <w:vertAlign w:val="superscript"/>
              </w:rPr>
              <w:t>3</w:t>
            </w:r>
            <w:r>
              <w:rPr>
                <w:rFonts w:hint="eastAsia"/>
                <w:kern w:val="0"/>
                <w:sz w:val="24"/>
              </w:rPr>
              <w:t>-原料，二氧化硫0.02Skg/万m</w:t>
            </w:r>
            <w:r>
              <w:rPr>
                <w:rFonts w:hint="eastAsia"/>
                <w:kern w:val="0"/>
                <w:sz w:val="24"/>
                <w:vertAlign w:val="superscript"/>
              </w:rPr>
              <w:t>3</w:t>
            </w:r>
            <w:r>
              <w:rPr>
                <w:rFonts w:hint="eastAsia"/>
                <w:kern w:val="0"/>
                <w:sz w:val="24"/>
              </w:rPr>
              <w:t>-原料（</w:t>
            </w:r>
            <w:r>
              <w:rPr>
                <w:rFonts w:hint="eastAsia"/>
                <w:sz w:val="24"/>
              </w:rPr>
              <w:t>天然气含硫量约100mg/m</w:t>
            </w:r>
            <w:r>
              <w:rPr>
                <w:rFonts w:hint="eastAsia"/>
                <w:sz w:val="24"/>
                <w:vertAlign w:val="superscript"/>
              </w:rPr>
              <w:t>3</w:t>
            </w:r>
            <w:r>
              <w:rPr>
                <w:rFonts w:hint="eastAsia"/>
                <w:kern w:val="0"/>
                <w:sz w:val="24"/>
              </w:rPr>
              <w:t>），氮氧化物3.03kg/万m</w:t>
            </w:r>
            <w:r>
              <w:rPr>
                <w:rFonts w:hint="eastAsia"/>
                <w:kern w:val="0"/>
                <w:sz w:val="24"/>
                <w:vertAlign w:val="superscript"/>
              </w:rPr>
              <w:t>3</w:t>
            </w:r>
            <w:r>
              <w:rPr>
                <w:rFonts w:hint="eastAsia"/>
                <w:kern w:val="0"/>
                <w:sz w:val="24"/>
              </w:rPr>
              <w:t>-原料（已采用低氮燃烧技术））。</w:t>
            </w:r>
          </w:p>
          <w:p>
            <w:pPr>
              <w:spacing w:line="360" w:lineRule="auto"/>
              <w:ind w:firstLine="480" w:firstLineChars="200"/>
              <w:rPr>
                <w:kern w:val="0"/>
                <w:sz w:val="24"/>
              </w:rPr>
            </w:pPr>
            <w:r>
              <w:rPr>
                <w:rFonts w:hint="eastAsia"/>
                <w:kern w:val="0"/>
                <w:sz w:val="24"/>
              </w:rPr>
              <w:t xml:space="preserve">颗粒物核算参照《污染源源强核算技术指南 </w:t>
            </w:r>
            <w:r>
              <w:rPr>
                <w:kern w:val="0"/>
                <w:sz w:val="24"/>
              </w:rPr>
              <w:t>锅炉</w:t>
            </w:r>
            <w:r>
              <w:rPr>
                <w:rFonts w:hint="eastAsia"/>
                <w:kern w:val="0"/>
                <w:sz w:val="24"/>
              </w:rPr>
              <w:t>》（H</w:t>
            </w:r>
            <w:r>
              <w:rPr>
                <w:kern w:val="0"/>
                <w:sz w:val="24"/>
              </w:rPr>
              <w:t>J991-201</w:t>
            </w:r>
            <w:r>
              <w:rPr>
                <w:rFonts w:hint="eastAsia"/>
                <w:kern w:val="0"/>
                <w:sz w:val="24"/>
              </w:rPr>
              <w:t>8）燃气锅炉颗粒物排放量计算公示如下：</w:t>
            </w:r>
          </w:p>
          <w:p>
            <w:pPr>
              <w:spacing w:line="360" w:lineRule="auto"/>
              <w:ind w:firstLine="480" w:firstLineChars="200"/>
              <w:jc w:val="center"/>
              <w:rPr>
                <w:kern w:val="0"/>
                <w:sz w:val="24"/>
              </w:rPr>
            </w:pPr>
            <w:r>
              <w:rPr>
                <w:kern w:val="0"/>
                <w:sz w:val="24"/>
              </w:rPr>
              <w:drawing>
                <wp:inline distT="0" distB="0" distL="0" distR="0">
                  <wp:extent cx="2712720" cy="670560"/>
                  <wp:effectExtent l="0" t="0" r="0" b="0"/>
                  <wp:docPr id="11" name="图片 11" descr="168926157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9261575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12720" cy="670560"/>
                          </a:xfrm>
                          <a:prstGeom prst="rect">
                            <a:avLst/>
                          </a:prstGeom>
                          <a:noFill/>
                          <a:ln>
                            <a:noFill/>
                          </a:ln>
                        </pic:spPr>
                      </pic:pic>
                    </a:graphicData>
                  </a:graphic>
                </wp:inline>
              </w:drawing>
            </w:r>
          </w:p>
          <w:p>
            <w:pPr>
              <w:spacing w:line="360" w:lineRule="auto"/>
              <w:ind w:firstLine="480" w:firstLineChars="200"/>
              <w:rPr>
                <w:kern w:val="0"/>
                <w:sz w:val="24"/>
              </w:rPr>
            </w:pPr>
            <w:r>
              <w:rPr>
                <w:rFonts w:hint="eastAsia"/>
                <w:kern w:val="0"/>
                <w:sz w:val="24"/>
              </w:rPr>
              <w:t>式中：E颗粒物—核算时段内颗粒物排放量，t；</w:t>
            </w:r>
          </w:p>
          <w:p>
            <w:pPr>
              <w:spacing w:line="360" w:lineRule="auto"/>
              <w:ind w:firstLine="480" w:firstLineChars="200"/>
              <w:rPr>
                <w:kern w:val="0"/>
                <w:sz w:val="24"/>
              </w:rPr>
            </w:pPr>
            <w:r>
              <w:rPr>
                <w:rFonts w:hint="eastAsia"/>
                <w:kern w:val="0"/>
                <w:sz w:val="24"/>
              </w:rPr>
              <w:t xml:space="preserve"> </w:t>
            </w:r>
            <w:r>
              <w:rPr>
                <w:kern w:val="0"/>
                <w:sz w:val="24"/>
              </w:rPr>
              <w:t xml:space="preserve">     R</w:t>
            </w:r>
            <w:r>
              <w:rPr>
                <w:rFonts w:hint="eastAsia"/>
                <w:kern w:val="0"/>
                <w:sz w:val="24"/>
              </w:rPr>
              <w:t>—核算时段内燃料耗量，取</w:t>
            </w:r>
            <w:r>
              <w:rPr>
                <w:kern w:val="0"/>
                <w:sz w:val="24"/>
              </w:rPr>
              <w:t>18</w:t>
            </w:r>
            <w:r>
              <w:rPr>
                <w:rFonts w:hint="eastAsia"/>
                <w:kern w:val="0"/>
                <w:sz w:val="24"/>
              </w:rPr>
              <w:t>万m</w:t>
            </w:r>
            <w:r>
              <w:rPr>
                <w:kern w:val="0"/>
                <w:sz w:val="24"/>
                <w:vertAlign w:val="superscript"/>
              </w:rPr>
              <w:t>3</w:t>
            </w:r>
            <w:r>
              <w:rPr>
                <w:rFonts w:hint="eastAsia"/>
                <w:kern w:val="0"/>
                <w:sz w:val="24"/>
              </w:rPr>
              <w:t>；</w:t>
            </w:r>
          </w:p>
          <w:p>
            <w:pPr>
              <w:spacing w:line="360" w:lineRule="auto"/>
              <w:ind w:firstLine="480" w:firstLineChars="200"/>
              <w:rPr>
                <w:kern w:val="0"/>
                <w:sz w:val="24"/>
              </w:rPr>
            </w:pPr>
            <w:r>
              <w:rPr>
                <w:rFonts w:hint="eastAsia"/>
                <w:kern w:val="0"/>
                <w:sz w:val="24"/>
              </w:rPr>
              <w:t xml:space="preserve"> </w:t>
            </w:r>
            <w:r>
              <w:rPr>
                <w:kern w:val="0"/>
                <w:sz w:val="24"/>
              </w:rPr>
              <w:t xml:space="preserve">     β颗粒物—产污系数，kg/万m</w:t>
            </w:r>
            <w:r>
              <w:rPr>
                <w:kern w:val="0"/>
                <w:sz w:val="24"/>
                <w:vertAlign w:val="superscript"/>
              </w:rPr>
              <w:t>3</w:t>
            </w:r>
            <w:r>
              <w:rPr>
                <w:kern w:val="0"/>
                <w:sz w:val="24"/>
              </w:rPr>
              <w:t>，根据《环境保护实用数据手册》，取0.8kg/万m</w:t>
            </w:r>
            <w:r>
              <w:rPr>
                <w:kern w:val="0"/>
                <w:sz w:val="24"/>
                <w:vertAlign w:val="superscript"/>
              </w:rPr>
              <w:t>3</w:t>
            </w:r>
            <w:r>
              <w:rPr>
                <w:kern w:val="0"/>
                <w:sz w:val="24"/>
              </w:rPr>
              <w:t>。</w:t>
            </w:r>
          </w:p>
          <w:p>
            <w:pPr>
              <w:spacing w:line="360" w:lineRule="auto"/>
              <w:ind w:firstLine="480" w:firstLineChars="200"/>
              <w:rPr>
                <w:kern w:val="0"/>
                <w:sz w:val="24"/>
              </w:rPr>
            </w:pPr>
            <w:r>
              <w:rPr>
                <w:rFonts w:hint="eastAsia"/>
                <w:kern w:val="0"/>
                <w:sz w:val="24"/>
              </w:rPr>
              <w:t xml:space="preserve"> </w:t>
            </w:r>
            <w:r>
              <w:rPr>
                <w:kern w:val="0"/>
                <w:sz w:val="24"/>
              </w:rPr>
              <w:t xml:space="preserve">    </w:t>
            </w:r>
            <w:r>
              <w:rPr>
                <w:rFonts w:hint="eastAsia" w:ascii="宋体" w:hAnsi="宋体"/>
                <w:kern w:val="0"/>
                <w:sz w:val="24"/>
              </w:rPr>
              <w:t>η</w:t>
            </w:r>
            <w:r>
              <w:rPr>
                <w:rFonts w:hint="eastAsia"/>
                <w:kern w:val="0"/>
                <w:sz w:val="24"/>
              </w:rPr>
              <w:t>—污染物的脱除效率，%，取0。</w:t>
            </w:r>
          </w:p>
          <w:p>
            <w:pPr>
              <w:spacing w:line="360" w:lineRule="auto"/>
              <w:ind w:firstLine="480" w:firstLineChars="200"/>
              <w:rPr>
                <w:kern w:val="0"/>
                <w:sz w:val="24"/>
              </w:rPr>
            </w:pPr>
            <w:r>
              <w:rPr>
                <w:rFonts w:hint="eastAsia"/>
                <w:kern w:val="0"/>
                <w:sz w:val="24"/>
              </w:rPr>
              <w:t>由此可知本项目锅炉废气产品情况如下。</w:t>
            </w:r>
          </w:p>
          <w:p>
            <w:pPr>
              <w:pStyle w:val="92"/>
              <w:adjustRightInd w:val="0"/>
              <w:snapToGrid w:val="0"/>
              <w:spacing w:beforeLines="0"/>
              <w:rPr>
                <w:rFonts w:hAnsi="宋体" w:eastAsia="宋体"/>
              </w:rPr>
            </w:pPr>
            <w:r>
              <w:rPr>
                <w:rFonts w:hAnsi="宋体" w:eastAsia="宋体"/>
              </w:rPr>
              <w:t>表</w:t>
            </w:r>
            <w:r>
              <w:rPr>
                <w:rFonts w:hint="eastAsia" w:hAnsi="宋体" w:eastAsia="宋体"/>
              </w:rPr>
              <w:t>4-</w:t>
            </w:r>
            <w:r>
              <w:rPr>
                <w:rFonts w:hAnsi="宋体" w:eastAsia="宋体"/>
              </w:rPr>
              <w:t>2</w:t>
            </w:r>
            <w:r>
              <w:rPr>
                <w:rFonts w:hint="eastAsia" w:hAnsi="宋体" w:eastAsia="宋体"/>
              </w:rPr>
              <w:t xml:space="preserve">    锅炉废气产排情况</w:t>
            </w:r>
            <w:r>
              <w:rPr>
                <w:rFonts w:hAnsi="宋体" w:eastAsia="宋体"/>
              </w:rPr>
              <w:t>一览</w:t>
            </w:r>
            <w:r>
              <w:rPr>
                <w:rFonts w:hint="eastAsia" w:hAnsi="宋体" w:eastAsia="宋体"/>
              </w:rPr>
              <w:t>表</w:t>
            </w:r>
          </w:p>
          <w:tbl>
            <w:tblPr>
              <w:tblStyle w:val="21"/>
              <w:tblW w:w="844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855"/>
              <w:gridCol w:w="1204"/>
              <w:gridCol w:w="1307"/>
              <w:gridCol w:w="1247"/>
              <w:gridCol w:w="747"/>
              <w:gridCol w:w="900"/>
              <w:gridCol w:w="1247"/>
              <w:gridCol w:w="5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3" w:type="dxa"/>
                  <w:gridSpan w:val="2"/>
                  <w:vAlign w:val="center"/>
                </w:tcPr>
                <w:p>
                  <w:pPr>
                    <w:adjustRightInd w:val="0"/>
                    <w:snapToGrid w:val="0"/>
                    <w:jc w:val="center"/>
                    <w:rPr>
                      <w:b/>
                      <w:bCs/>
                      <w:szCs w:val="21"/>
                    </w:rPr>
                  </w:pPr>
                  <w:r>
                    <w:rPr>
                      <w:rFonts w:hint="eastAsia"/>
                      <w:b/>
                      <w:bCs/>
                      <w:szCs w:val="21"/>
                    </w:rPr>
                    <w:t>项目</w:t>
                  </w:r>
                </w:p>
              </w:tc>
              <w:tc>
                <w:tcPr>
                  <w:tcW w:w="1204" w:type="dxa"/>
                  <w:vAlign w:val="center"/>
                </w:tcPr>
                <w:p>
                  <w:pPr>
                    <w:adjustRightInd w:val="0"/>
                    <w:snapToGrid w:val="0"/>
                    <w:jc w:val="center"/>
                    <w:rPr>
                      <w:b/>
                      <w:bCs/>
                      <w:szCs w:val="21"/>
                    </w:rPr>
                  </w:pPr>
                  <w:r>
                    <w:rPr>
                      <w:rFonts w:hint="eastAsia"/>
                      <w:b/>
                      <w:bCs/>
                      <w:szCs w:val="21"/>
                    </w:rPr>
                    <w:t>烟气量（m</w:t>
                  </w:r>
                  <w:r>
                    <w:rPr>
                      <w:rFonts w:hint="eastAsia"/>
                      <w:b/>
                      <w:bCs/>
                      <w:szCs w:val="21"/>
                      <w:vertAlign w:val="superscript"/>
                    </w:rPr>
                    <w:t>3</w:t>
                  </w:r>
                  <w:r>
                    <w:rPr>
                      <w:rFonts w:hint="eastAsia"/>
                      <w:b/>
                      <w:bCs/>
                      <w:szCs w:val="21"/>
                    </w:rPr>
                    <w:t>/a）</w:t>
                  </w:r>
                </w:p>
              </w:tc>
              <w:tc>
                <w:tcPr>
                  <w:tcW w:w="1308" w:type="dxa"/>
                  <w:vAlign w:val="center"/>
                </w:tcPr>
                <w:p>
                  <w:pPr>
                    <w:adjustRightInd w:val="0"/>
                    <w:snapToGrid w:val="0"/>
                    <w:jc w:val="center"/>
                    <w:rPr>
                      <w:b/>
                      <w:bCs/>
                      <w:szCs w:val="21"/>
                    </w:rPr>
                  </w:pPr>
                  <w:r>
                    <w:rPr>
                      <w:b/>
                      <w:bCs/>
                      <w:szCs w:val="21"/>
                    </w:rPr>
                    <w:t>产生量（</w:t>
                  </w:r>
                  <w:r>
                    <w:rPr>
                      <w:rFonts w:hint="eastAsia"/>
                      <w:b/>
                      <w:bCs/>
                      <w:szCs w:val="21"/>
                    </w:rPr>
                    <w:t>t</w:t>
                  </w:r>
                  <w:r>
                    <w:rPr>
                      <w:b/>
                      <w:bCs/>
                      <w:szCs w:val="21"/>
                    </w:rPr>
                    <w:t>/a）</w:t>
                  </w:r>
                </w:p>
              </w:tc>
              <w:tc>
                <w:tcPr>
                  <w:tcW w:w="1247" w:type="dxa"/>
                  <w:vAlign w:val="center"/>
                </w:tcPr>
                <w:p>
                  <w:pPr>
                    <w:adjustRightInd w:val="0"/>
                    <w:snapToGrid w:val="0"/>
                    <w:jc w:val="center"/>
                    <w:rPr>
                      <w:b/>
                      <w:bCs/>
                      <w:szCs w:val="21"/>
                    </w:rPr>
                  </w:pPr>
                  <w:r>
                    <w:rPr>
                      <w:rFonts w:hint="eastAsia"/>
                      <w:b/>
                      <w:bCs/>
                      <w:szCs w:val="21"/>
                    </w:rPr>
                    <w:t>产生浓度（mg/m</w:t>
                  </w:r>
                  <w:r>
                    <w:rPr>
                      <w:rFonts w:hint="eastAsia"/>
                      <w:b/>
                      <w:bCs/>
                      <w:szCs w:val="21"/>
                      <w:vertAlign w:val="superscript"/>
                    </w:rPr>
                    <w:t>3</w:t>
                  </w:r>
                  <w:r>
                    <w:rPr>
                      <w:rFonts w:hint="eastAsia"/>
                      <w:b/>
                      <w:bCs/>
                      <w:szCs w:val="21"/>
                    </w:rPr>
                    <w:t>）</w:t>
                  </w:r>
                </w:p>
              </w:tc>
              <w:tc>
                <w:tcPr>
                  <w:tcW w:w="744" w:type="dxa"/>
                  <w:vAlign w:val="center"/>
                </w:tcPr>
                <w:p>
                  <w:pPr>
                    <w:adjustRightInd w:val="0"/>
                    <w:snapToGrid w:val="0"/>
                    <w:jc w:val="center"/>
                    <w:rPr>
                      <w:b/>
                      <w:bCs/>
                      <w:szCs w:val="21"/>
                    </w:rPr>
                  </w:pPr>
                  <w:r>
                    <w:rPr>
                      <w:rFonts w:hint="eastAsia"/>
                      <w:b/>
                      <w:bCs/>
                      <w:szCs w:val="21"/>
                    </w:rPr>
                    <w:t>末端治理措施</w:t>
                  </w:r>
                </w:p>
              </w:tc>
              <w:tc>
                <w:tcPr>
                  <w:tcW w:w="900" w:type="dxa"/>
                  <w:vAlign w:val="center"/>
                </w:tcPr>
                <w:p>
                  <w:pPr>
                    <w:adjustRightInd w:val="0"/>
                    <w:snapToGrid w:val="0"/>
                    <w:jc w:val="center"/>
                    <w:rPr>
                      <w:b/>
                      <w:bCs/>
                      <w:szCs w:val="21"/>
                    </w:rPr>
                  </w:pPr>
                  <w:r>
                    <w:rPr>
                      <w:b/>
                      <w:bCs/>
                      <w:szCs w:val="21"/>
                    </w:rPr>
                    <w:t>排放量（t/a）</w:t>
                  </w:r>
                </w:p>
              </w:tc>
              <w:tc>
                <w:tcPr>
                  <w:tcW w:w="1247" w:type="dxa"/>
                  <w:vAlign w:val="center"/>
                </w:tcPr>
                <w:p>
                  <w:pPr>
                    <w:adjustRightInd w:val="0"/>
                    <w:snapToGrid w:val="0"/>
                    <w:jc w:val="center"/>
                    <w:rPr>
                      <w:b/>
                      <w:bCs/>
                      <w:szCs w:val="21"/>
                    </w:rPr>
                  </w:pPr>
                  <w:r>
                    <w:rPr>
                      <w:rFonts w:hint="eastAsia"/>
                      <w:b/>
                      <w:bCs/>
                      <w:szCs w:val="21"/>
                    </w:rPr>
                    <w:t>排放浓度（mg/m</w:t>
                  </w:r>
                  <w:r>
                    <w:rPr>
                      <w:rFonts w:hint="eastAsia"/>
                      <w:b/>
                      <w:bCs/>
                      <w:szCs w:val="21"/>
                      <w:vertAlign w:val="superscript"/>
                    </w:rPr>
                    <w:t>3</w:t>
                  </w:r>
                  <w:r>
                    <w:rPr>
                      <w:rFonts w:hint="eastAsia"/>
                      <w:b/>
                      <w:bCs/>
                      <w:szCs w:val="21"/>
                    </w:rPr>
                    <w:t>）</w:t>
                  </w:r>
                </w:p>
              </w:tc>
              <w:tc>
                <w:tcPr>
                  <w:tcW w:w="512" w:type="dxa"/>
                  <w:vAlign w:val="center"/>
                </w:tcPr>
                <w:p>
                  <w:pPr>
                    <w:adjustRightInd w:val="0"/>
                    <w:snapToGrid w:val="0"/>
                    <w:jc w:val="center"/>
                    <w:rPr>
                      <w:b/>
                      <w:bCs/>
                      <w:szCs w:val="21"/>
                    </w:rPr>
                  </w:pPr>
                  <w:r>
                    <w:rPr>
                      <w:rFonts w:hint="eastAsia"/>
                      <w:b/>
                      <w:bCs/>
                      <w:szCs w:val="21"/>
                    </w:rPr>
                    <w:t>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426" w:type="dxa"/>
                  <w:vMerge w:val="restart"/>
                  <w:vAlign w:val="center"/>
                </w:tcPr>
                <w:p>
                  <w:pPr>
                    <w:adjustRightInd w:val="0"/>
                    <w:snapToGrid w:val="0"/>
                    <w:jc w:val="center"/>
                    <w:rPr>
                      <w:szCs w:val="21"/>
                    </w:rPr>
                  </w:pPr>
                  <w:r>
                    <w:rPr>
                      <w:rFonts w:hint="eastAsia"/>
                      <w:szCs w:val="21"/>
                    </w:rPr>
                    <w:t>燃气锅炉废气</w:t>
                  </w:r>
                </w:p>
              </w:tc>
              <w:tc>
                <w:tcPr>
                  <w:tcW w:w="857" w:type="dxa"/>
                  <w:vAlign w:val="center"/>
                </w:tcPr>
                <w:p>
                  <w:pPr>
                    <w:adjustRightInd w:val="0"/>
                    <w:snapToGrid w:val="0"/>
                    <w:jc w:val="center"/>
                    <w:rPr>
                      <w:szCs w:val="21"/>
                    </w:rPr>
                  </w:pPr>
                  <w:r>
                    <w:rPr>
                      <w:szCs w:val="21"/>
                    </w:rPr>
                    <w:t>SO</w:t>
                  </w:r>
                  <w:r>
                    <w:rPr>
                      <w:szCs w:val="21"/>
                      <w:vertAlign w:val="subscript"/>
                    </w:rPr>
                    <w:t>2</w:t>
                  </w:r>
                </w:p>
              </w:tc>
              <w:tc>
                <w:tcPr>
                  <w:tcW w:w="1204" w:type="dxa"/>
                  <w:vMerge w:val="restart"/>
                  <w:vAlign w:val="center"/>
                </w:tcPr>
                <w:p>
                  <w:pPr>
                    <w:adjustRightInd w:val="0"/>
                    <w:snapToGrid w:val="0"/>
                    <w:jc w:val="center"/>
                    <w:rPr>
                      <w:szCs w:val="21"/>
                    </w:rPr>
                  </w:pPr>
                  <w:r>
                    <w:rPr>
                      <w:szCs w:val="21"/>
                    </w:rPr>
                    <w:t>1939554</w:t>
                  </w:r>
                </w:p>
              </w:tc>
              <w:tc>
                <w:tcPr>
                  <w:tcW w:w="1308" w:type="dxa"/>
                  <w:vAlign w:val="center"/>
                </w:tcPr>
                <w:p>
                  <w:pPr>
                    <w:adjustRightInd w:val="0"/>
                    <w:snapToGrid w:val="0"/>
                    <w:jc w:val="center"/>
                    <w:rPr>
                      <w:szCs w:val="21"/>
                    </w:rPr>
                  </w:pPr>
                  <w:r>
                    <w:rPr>
                      <w:szCs w:val="21"/>
                    </w:rPr>
                    <w:t>0.036</w:t>
                  </w:r>
                </w:p>
              </w:tc>
              <w:tc>
                <w:tcPr>
                  <w:tcW w:w="1247" w:type="dxa"/>
                  <w:vAlign w:val="center"/>
                </w:tcPr>
                <w:p>
                  <w:pPr>
                    <w:adjustRightInd w:val="0"/>
                    <w:snapToGrid w:val="0"/>
                    <w:jc w:val="center"/>
                    <w:rPr>
                      <w:szCs w:val="21"/>
                    </w:rPr>
                  </w:pPr>
                  <w:r>
                    <w:rPr>
                      <w:rFonts w:hint="eastAsia"/>
                      <w:szCs w:val="21"/>
                    </w:rPr>
                    <w:t>1</w:t>
                  </w:r>
                  <w:r>
                    <w:rPr>
                      <w:szCs w:val="21"/>
                    </w:rPr>
                    <w:t>8.56</w:t>
                  </w:r>
                </w:p>
              </w:tc>
              <w:tc>
                <w:tcPr>
                  <w:tcW w:w="744" w:type="dxa"/>
                  <w:vMerge w:val="restart"/>
                  <w:vAlign w:val="center"/>
                </w:tcPr>
                <w:p>
                  <w:pPr>
                    <w:adjustRightInd w:val="0"/>
                    <w:snapToGrid w:val="0"/>
                    <w:jc w:val="center"/>
                    <w:rPr>
                      <w:szCs w:val="21"/>
                    </w:rPr>
                  </w:pPr>
                  <w:r>
                    <w:rPr>
                      <w:szCs w:val="21"/>
                    </w:rPr>
                    <w:t>28.7m</w:t>
                  </w:r>
                  <w:r>
                    <w:rPr>
                      <w:rFonts w:hint="eastAsia"/>
                      <w:szCs w:val="21"/>
                    </w:rPr>
                    <w:t>高</w:t>
                  </w:r>
                  <w:r>
                    <w:rPr>
                      <w:szCs w:val="21"/>
                    </w:rPr>
                    <w:t>排气筒</w:t>
                  </w:r>
                </w:p>
              </w:tc>
              <w:tc>
                <w:tcPr>
                  <w:tcW w:w="900" w:type="dxa"/>
                  <w:vAlign w:val="center"/>
                </w:tcPr>
                <w:p>
                  <w:pPr>
                    <w:adjustRightInd w:val="0"/>
                    <w:snapToGrid w:val="0"/>
                    <w:jc w:val="center"/>
                    <w:rPr>
                      <w:szCs w:val="21"/>
                    </w:rPr>
                  </w:pPr>
                  <w:r>
                    <w:rPr>
                      <w:szCs w:val="21"/>
                    </w:rPr>
                    <w:t>0.036</w:t>
                  </w:r>
                </w:p>
              </w:tc>
              <w:tc>
                <w:tcPr>
                  <w:tcW w:w="1247" w:type="dxa"/>
                  <w:vAlign w:val="center"/>
                </w:tcPr>
                <w:p>
                  <w:pPr>
                    <w:adjustRightInd w:val="0"/>
                    <w:snapToGrid w:val="0"/>
                    <w:jc w:val="center"/>
                    <w:rPr>
                      <w:szCs w:val="21"/>
                    </w:rPr>
                  </w:pPr>
                  <w:r>
                    <w:rPr>
                      <w:szCs w:val="21"/>
                    </w:rPr>
                    <w:t>18.56</w:t>
                  </w:r>
                </w:p>
              </w:tc>
              <w:tc>
                <w:tcPr>
                  <w:tcW w:w="512" w:type="dxa"/>
                  <w:vAlign w:val="center"/>
                </w:tcPr>
                <w:p>
                  <w:pPr>
                    <w:adjustRightInd w:val="0"/>
                    <w:snapToGrid w:val="0"/>
                    <w:jc w:val="center"/>
                    <w:rPr>
                      <w:szCs w:val="21"/>
                    </w:rPr>
                  </w:pPr>
                  <w:r>
                    <w:rPr>
                      <w:rFonts w:hint="eastAsia"/>
                      <w:szCs w:val="21"/>
                    </w:rPr>
                    <w:t>2</w:t>
                  </w:r>
                  <w:r>
                    <w:rPr>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426" w:type="dxa"/>
                  <w:vMerge w:val="continue"/>
                  <w:vAlign w:val="center"/>
                </w:tcPr>
                <w:p>
                  <w:pPr>
                    <w:adjustRightInd w:val="0"/>
                    <w:snapToGrid w:val="0"/>
                    <w:jc w:val="center"/>
                    <w:rPr>
                      <w:szCs w:val="21"/>
                    </w:rPr>
                  </w:pPr>
                </w:p>
              </w:tc>
              <w:tc>
                <w:tcPr>
                  <w:tcW w:w="857" w:type="dxa"/>
                  <w:vAlign w:val="center"/>
                </w:tcPr>
                <w:p>
                  <w:pPr>
                    <w:adjustRightInd w:val="0"/>
                    <w:snapToGrid w:val="0"/>
                    <w:jc w:val="center"/>
                    <w:rPr>
                      <w:szCs w:val="21"/>
                    </w:rPr>
                  </w:pPr>
                  <w:r>
                    <w:rPr>
                      <w:szCs w:val="21"/>
                    </w:rPr>
                    <w:t>NO</w:t>
                  </w:r>
                  <w:r>
                    <w:rPr>
                      <w:szCs w:val="21"/>
                      <w:vertAlign w:val="subscript"/>
                    </w:rPr>
                    <w:t>X</w:t>
                  </w:r>
                </w:p>
              </w:tc>
              <w:tc>
                <w:tcPr>
                  <w:tcW w:w="1204" w:type="dxa"/>
                  <w:vMerge w:val="continue"/>
                  <w:vAlign w:val="center"/>
                </w:tcPr>
                <w:p>
                  <w:pPr>
                    <w:adjustRightInd w:val="0"/>
                    <w:snapToGrid w:val="0"/>
                    <w:jc w:val="center"/>
                    <w:rPr>
                      <w:szCs w:val="21"/>
                    </w:rPr>
                  </w:pPr>
                </w:p>
              </w:tc>
              <w:tc>
                <w:tcPr>
                  <w:tcW w:w="1308" w:type="dxa"/>
                  <w:vAlign w:val="center"/>
                </w:tcPr>
                <w:p>
                  <w:pPr>
                    <w:adjustRightInd w:val="0"/>
                    <w:snapToGrid w:val="0"/>
                    <w:jc w:val="center"/>
                    <w:rPr>
                      <w:szCs w:val="21"/>
                    </w:rPr>
                  </w:pPr>
                  <w:r>
                    <w:rPr>
                      <w:szCs w:val="21"/>
                    </w:rPr>
                    <w:t>0.055</w:t>
                  </w:r>
                </w:p>
              </w:tc>
              <w:tc>
                <w:tcPr>
                  <w:tcW w:w="1247" w:type="dxa"/>
                  <w:vAlign w:val="center"/>
                </w:tcPr>
                <w:p>
                  <w:pPr>
                    <w:adjustRightInd w:val="0"/>
                    <w:snapToGrid w:val="0"/>
                    <w:jc w:val="center"/>
                    <w:rPr>
                      <w:szCs w:val="21"/>
                    </w:rPr>
                  </w:pPr>
                  <w:r>
                    <w:rPr>
                      <w:rFonts w:hint="eastAsia"/>
                      <w:szCs w:val="21"/>
                    </w:rPr>
                    <w:t>2</w:t>
                  </w:r>
                  <w:r>
                    <w:rPr>
                      <w:szCs w:val="21"/>
                    </w:rPr>
                    <w:t>8.36</w:t>
                  </w:r>
                </w:p>
              </w:tc>
              <w:tc>
                <w:tcPr>
                  <w:tcW w:w="744" w:type="dxa"/>
                  <w:vMerge w:val="continue"/>
                  <w:vAlign w:val="center"/>
                </w:tcPr>
                <w:p>
                  <w:pPr>
                    <w:adjustRightInd w:val="0"/>
                    <w:snapToGrid w:val="0"/>
                    <w:jc w:val="center"/>
                    <w:rPr>
                      <w:szCs w:val="21"/>
                    </w:rPr>
                  </w:pPr>
                </w:p>
              </w:tc>
              <w:tc>
                <w:tcPr>
                  <w:tcW w:w="900" w:type="dxa"/>
                  <w:vAlign w:val="center"/>
                </w:tcPr>
                <w:p>
                  <w:pPr>
                    <w:adjustRightInd w:val="0"/>
                    <w:snapToGrid w:val="0"/>
                    <w:jc w:val="center"/>
                    <w:rPr>
                      <w:szCs w:val="21"/>
                    </w:rPr>
                  </w:pPr>
                  <w:r>
                    <w:rPr>
                      <w:szCs w:val="21"/>
                    </w:rPr>
                    <w:t>0.055</w:t>
                  </w:r>
                </w:p>
              </w:tc>
              <w:tc>
                <w:tcPr>
                  <w:tcW w:w="1247" w:type="dxa"/>
                  <w:vAlign w:val="center"/>
                </w:tcPr>
                <w:p>
                  <w:pPr>
                    <w:adjustRightInd w:val="0"/>
                    <w:snapToGrid w:val="0"/>
                    <w:jc w:val="center"/>
                    <w:rPr>
                      <w:szCs w:val="21"/>
                    </w:rPr>
                  </w:pPr>
                  <w:r>
                    <w:rPr>
                      <w:szCs w:val="21"/>
                    </w:rPr>
                    <w:t>28.36</w:t>
                  </w:r>
                </w:p>
              </w:tc>
              <w:tc>
                <w:tcPr>
                  <w:tcW w:w="512" w:type="dxa"/>
                  <w:vAlign w:val="center"/>
                </w:tcPr>
                <w:p>
                  <w:pPr>
                    <w:adjustRightInd w:val="0"/>
                    <w:snapToGrid w:val="0"/>
                    <w:jc w:val="center"/>
                    <w:rPr>
                      <w:szCs w:val="21"/>
                    </w:rPr>
                  </w:pPr>
                  <w:r>
                    <w:rPr>
                      <w:rFonts w:hint="eastAsia"/>
                      <w:szCs w:val="21"/>
                    </w:rPr>
                    <w:t>5</w:t>
                  </w:r>
                  <w:r>
                    <w:rPr>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426" w:type="dxa"/>
                  <w:vMerge w:val="continue"/>
                  <w:vAlign w:val="center"/>
                </w:tcPr>
                <w:p>
                  <w:pPr>
                    <w:adjustRightInd w:val="0"/>
                    <w:snapToGrid w:val="0"/>
                    <w:jc w:val="center"/>
                    <w:rPr>
                      <w:szCs w:val="21"/>
                    </w:rPr>
                  </w:pPr>
                </w:p>
              </w:tc>
              <w:tc>
                <w:tcPr>
                  <w:tcW w:w="857" w:type="dxa"/>
                  <w:vAlign w:val="center"/>
                </w:tcPr>
                <w:p>
                  <w:pPr>
                    <w:adjustRightInd w:val="0"/>
                    <w:snapToGrid w:val="0"/>
                    <w:jc w:val="center"/>
                    <w:rPr>
                      <w:szCs w:val="21"/>
                    </w:rPr>
                  </w:pPr>
                  <w:r>
                    <w:rPr>
                      <w:szCs w:val="21"/>
                    </w:rPr>
                    <w:t>颗粒物</w:t>
                  </w:r>
                </w:p>
              </w:tc>
              <w:tc>
                <w:tcPr>
                  <w:tcW w:w="1204" w:type="dxa"/>
                  <w:vMerge w:val="continue"/>
                  <w:vAlign w:val="center"/>
                </w:tcPr>
                <w:p>
                  <w:pPr>
                    <w:adjustRightInd w:val="0"/>
                    <w:snapToGrid w:val="0"/>
                    <w:jc w:val="center"/>
                    <w:rPr>
                      <w:szCs w:val="21"/>
                    </w:rPr>
                  </w:pPr>
                </w:p>
              </w:tc>
              <w:tc>
                <w:tcPr>
                  <w:tcW w:w="1308" w:type="dxa"/>
                  <w:vAlign w:val="center"/>
                </w:tcPr>
                <w:p>
                  <w:pPr>
                    <w:adjustRightInd w:val="0"/>
                    <w:snapToGrid w:val="0"/>
                    <w:jc w:val="center"/>
                    <w:rPr>
                      <w:szCs w:val="21"/>
                    </w:rPr>
                  </w:pPr>
                  <w:r>
                    <w:rPr>
                      <w:szCs w:val="21"/>
                    </w:rPr>
                    <w:t>0.014</w:t>
                  </w:r>
                </w:p>
              </w:tc>
              <w:tc>
                <w:tcPr>
                  <w:tcW w:w="1247" w:type="dxa"/>
                  <w:vAlign w:val="center"/>
                </w:tcPr>
                <w:p>
                  <w:pPr>
                    <w:adjustRightInd w:val="0"/>
                    <w:snapToGrid w:val="0"/>
                    <w:jc w:val="center"/>
                    <w:rPr>
                      <w:szCs w:val="21"/>
                    </w:rPr>
                  </w:pPr>
                  <w:r>
                    <w:rPr>
                      <w:rFonts w:hint="eastAsia"/>
                      <w:szCs w:val="21"/>
                    </w:rPr>
                    <w:t>7</w:t>
                  </w:r>
                  <w:r>
                    <w:rPr>
                      <w:szCs w:val="21"/>
                    </w:rPr>
                    <w:t>.22</w:t>
                  </w:r>
                </w:p>
              </w:tc>
              <w:tc>
                <w:tcPr>
                  <w:tcW w:w="744" w:type="dxa"/>
                  <w:vMerge w:val="continue"/>
                  <w:vAlign w:val="center"/>
                </w:tcPr>
                <w:p>
                  <w:pPr>
                    <w:adjustRightInd w:val="0"/>
                    <w:snapToGrid w:val="0"/>
                    <w:jc w:val="center"/>
                    <w:rPr>
                      <w:szCs w:val="21"/>
                    </w:rPr>
                  </w:pPr>
                </w:p>
              </w:tc>
              <w:tc>
                <w:tcPr>
                  <w:tcW w:w="900" w:type="dxa"/>
                  <w:vAlign w:val="center"/>
                </w:tcPr>
                <w:p>
                  <w:pPr>
                    <w:adjustRightInd w:val="0"/>
                    <w:snapToGrid w:val="0"/>
                    <w:jc w:val="center"/>
                    <w:rPr>
                      <w:szCs w:val="21"/>
                    </w:rPr>
                  </w:pPr>
                  <w:r>
                    <w:rPr>
                      <w:szCs w:val="21"/>
                    </w:rPr>
                    <w:t>0.014</w:t>
                  </w:r>
                </w:p>
              </w:tc>
              <w:tc>
                <w:tcPr>
                  <w:tcW w:w="1247" w:type="dxa"/>
                  <w:vAlign w:val="center"/>
                </w:tcPr>
                <w:p>
                  <w:pPr>
                    <w:adjustRightInd w:val="0"/>
                    <w:snapToGrid w:val="0"/>
                    <w:jc w:val="center"/>
                    <w:rPr>
                      <w:szCs w:val="21"/>
                    </w:rPr>
                  </w:pPr>
                  <w:r>
                    <w:rPr>
                      <w:szCs w:val="21"/>
                    </w:rPr>
                    <w:t>7.22</w:t>
                  </w:r>
                </w:p>
              </w:tc>
              <w:tc>
                <w:tcPr>
                  <w:tcW w:w="512" w:type="dxa"/>
                  <w:vAlign w:val="center"/>
                </w:tcPr>
                <w:p>
                  <w:pPr>
                    <w:adjustRightInd w:val="0"/>
                    <w:snapToGrid w:val="0"/>
                    <w:jc w:val="center"/>
                    <w:rPr>
                      <w:szCs w:val="21"/>
                    </w:rPr>
                  </w:pPr>
                  <w:r>
                    <w:rPr>
                      <w:rFonts w:hint="eastAsia"/>
                      <w:szCs w:val="21"/>
                    </w:rPr>
                    <w:t>1</w:t>
                  </w:r>
                  <w:r>
                    <w:rPr>
                      <w:szCs w:val="21"/>
                    </w:rPr>
                    <w:t>0</w:t>
                  </w:r>
                </w:p>
              </w:tc>
            </w:tr>
          </w:tbl>
          <w:p>
            <w:pPr>
              <w:spacing w:line="360" w:lineRule="auto"/>
              <w:ind w:firstLine="480" w:firstLineChars="200"/>
              <w:rPr>
                <w:kern w:val="0"/>
                <w:sz w:val="24"/>
                <w:highlight w:val="yellow"/>
              </w:rPr>
            </w:pPr>
            <w:r>
              <w:rPr>
                <w:rFonts w:hint="eastAsia"/>
                <w:sz w:val="24"/>
              </w:rPr>
              <w:t>由上表可知本项目天然气锅炉在配备低氮燃烧器的情况下，其锅炉废气</w:t>
            </w:r>
            <w:bookmarkStart w:id="14" w:name="_Hlk102506109"/>
            <w:r>
              <w:rPr>
                <w:rFonts w:hint="eastAsia"/>
                <w:sz w:val="24"/>
              </w:rPr>
              <w:t>污染物排放可以满足《锅炉大气污染物排放标准》（DB61/1226-2018）中燃气锅炉的标准，对环境影响较小。</w:t>
            </w:r>
          </w:p>
          <w:p>
            <w:pPr>
              <w:spacing w:line="360" w:lineRule="auto"/>
              <w:ind w:firstLine="480" w:firstLineChars="200"/>
              <w:rPr>
                <w:kern w:val="0"/>
                <w:sz w:val="24"/>
              </w:rPr>
            </w:pPr>
            <w:r>
              <w:rPr>
                <w:rFonts w:hint="eastAsia" w:ascii="宋体" w:hAnsi="宋体" w:cs="宋体"/>
                <w:sz w:val="24"/>
              </w:rPr>
              <w:t>②</w:t>
            </w:r>
            <w:r>
              <w:rPr>
                <w:sz w:val="24"/>
              </w:rPr>
              <w:t>锅炉排气筒设置的合理性</w:t>
            </w:r>
          </w:p>
          <w:p>
            <w:pPr>
              <w:spacing w:line="360" w:lineRule="auto"/>
              <w:ind w:firstLine="480" w:firstLineChars="200"/>
              <w:rPr>
                <w:sz w:val="24"/>
              </w:rPr>
            </w:pPr>
            <w:r>
              <w:rPr>
                <w:rFonts w:hint="eastAsia"/>
                <w:sz w:val="24"/>
              </w:rPr>
              <w:t>根据《锅炉大气污染物排放标准》（D</w:t>
            </w:r>
            <w:r>
              <w:rPr>
                <w:sz w:val="24"/>
              </w:rPr>
              <w:t>B61/1226-2018</w:t>
            </w:r>
            <w:r>
              <w:rPr>
                <w:rFonts w:hint="eastAsia"/>
                <w:sz w:val="24"/>
              </w:rPr>
              <w:t>）“4</w:t>
            </w:r>
            <w:r>
              <w:rPr>
                <w:sz w:val="24"/>
              </w:rPr>
              <w:t xml:space="preserve">.1.4 </w:t>
            </w:r>
            <w:r>
              <w:rPr>
                <w:rFonts w:hint="eastAsia"/>
                <w:sz w:val="24"/>
              </w:rPr>
              <w:t>对本标准未做规定的污染物指标以及锅炉排放控制要求执行相应的国家污染物排放标准及其修改单”以及《锅炉大气污染物排放标准》（G</w:t>
            </w:r>
            <w:r>
              <w:rPr>
                <w:sz w:val="24"/>
              </w:rPr>
              <w:t>B13271-2014</w:t>
            </w:r>
            <w:r>
              <w:rPr>
                <w:rFonts w:hint="eastAsia"/>
                <w:sz w:val="24"/>
              </w:rPr>
              <w:t>）“4</w:t>
            </w:r>
            <w:r>
              <w:rPr>
                <w:sz w:val="24"/>
              </w:rPr>
              <w:t>.5</w:t>
            </w:r>
            <w:r>
              <w:rPr>
                <w:rFonts w:hint="eastAsia"/>
                <w:sz w:val="24"/>
              </w:rPr>
              <w:t>燃气锅炉烟囱不低于8m。新建锅炉房的烟囱周围半径2</w:t>
            </w:r>
            <w:r>
              <w:rPr>
                <w:sz w:val="24"/>
              </w:rPr>
              <w:t>00</w:t>
            </w:r>
            <w:r>
              <w:rPr>
                <w:rFonts w:hint="eastAsia"/>
                <w:sz w:val="24"/>
              </w:rPr>
              <w:t>m距离内有建筑物时，其烟囱应高出最高建筑物</w:t>
            </w:r>
            <w:r>
              <w:rPr>
                <w:sz w:val="24"/>
              </w:rPr>
              <w:t>3</w:t>
            </w:r>
            <w:r>
              <w:rPr>
                <w:rFonts w:hint="eastAsia"/>
                <w:sz w:val="24"/>
              </w:rPr>
              <w:t>m以上”，本项目新建锅炉房烟囱周围半径2</w:t>
            </w:r>
            <w:r>
              <w:rPr>
                <w:sz w:val="24"/>
              </w:rPr>
              <w:t>00</w:t>
            </w:r>
            <w:r>
              <w:rPr>
                <w:rFonts w:hint="eastAsia"/>
                <w:sz w:val="24"/>
              </w:rPr>
              <w:t>m距离内最高建筑物高度为2</w:t>
            </w:r>
            <w:r>
              <w:rPr>
                <w:sz w:val="24"/>
              </w:rPr>
              <w:t>5.7</w:t>
            </w:r>
            <w:r>
              <w:rPr>
                <w:rFonts w:hint="eastAsia"/>
                <w:sz w:val="24"/>
              </w:rPr>
              <w:t>m（本项目医院、康养中心），因此本项目烟囱高度不低于2</w:t>
            </w:r>
            <w:r>
              <w:rPr>
                <w:sz w:val="24"/>
              </w:rPr>
              <w:t>8.7</w:t>
            </w:r>
            <w:r>
              <w:rPr>
                <w:rFonts w:hint="eastAsia"/>
                <w:sz w:val="24"/>
              </w:rPr>
              <w:t>m，</w:t>
            </w:r>
            <w:r>
              <w:rPr>
                <w:sz w:val="24"/>
                <w:szCs w:val="28"/>
              </w:rPr>
              <w:t>满足</w:t>
            </w:r>
            <w:r>
              <w:rPr>
                <w:rFonts w:hint="eastAsia"/>
                <w:sz w:val="24"/>
                <w:szCs w:val="28"/>
              </w:rPr>
              <w:t>标准</w:t>
            </w:r>
            <w:r>
              <w:rPr>
                <w:sz w:val="24"/>
                <w:szCs w:val="28"/>
              </w:rPr>
              <w:t>要求。</w:t>
            </w:r>
          </w:p>
          <w:p>
            <w:pPr>
              <w:spacing w:line="360" w:lineRule="auto"/>
              <w:ind w:firstLine="480" w:firstLineChars="200"/>
              <w:rPr>
                <w:sz w:val="24"/>
              </w:rPr>
            </w:pPr>
            <w:r>
              <w:rPr>
                <w:rFonts w:hint="eastAsia"/>
                <w:sz w:val="24"/>
              </w:rPr>
              <w:t>综上所述，本项目锅炉废气污染防治措施从环保角度分析是可行的。</w:t>
            </w:r>
            <w:bookmarkEnd w:id="14"/>
          </w:p>
          <w:p>
            <w:pPr>
              <w:snapToGrid w:val="0"/>
              <w:spacing w:line="360" w:lineRule="auto"/>
              <w:ind w:firstLine="480" w:firstLineChars="200"/>
              <w:rPr>
                <w:sz w:val="24"/>
              </w:rPr>
            </w:pPr>
            <w:r>
              <w:rPr>
                <w:sz w:val="24"/>
              </w:rPr>
              <w:t>（4）</w:t>
            </w:r>
            <w:r>
              <w:rPr>
                <w:rFonts w:hint="eastAsia"/>
                <w:sz w:val="24"/>
              </w:rPr>
              <w:t>油烟废气</w:t>
            </w:r>
          </w:p>
          <w:p>
            <w:pPr>
              <w:snapToGrid w:val="0"/>
              <w:spacing w:line="360" w:lineRule="auto"/>
              <w:ind w:firstLine="480" w:firstLineChars="200"/>
              <w:rPr>
                <w:bCs/>
                <w:sz w:val="24"/>
              </w:rPr>
            </w:pPr>
            <w:r>
              <w:rPr>
                <w:rFonts w:hint="eastAsia"/>
                <w:bCs/>
                <w:sz w:val="24"/>
              </w:rPr>
              <w:t>本项目新建食堂，食堂使用清洁能源作为燃料，产生的油烟废气较少，经油烟净化器处理后排放。根据设计食堂最高就餐人数约为180人。</w:t>
            </w:r>
          </w:p>
          <w:p>
            <w:pPr>
              <w:snapToGrid w:val="0"/>
              <w:spacing w:line="360" w:lineRule="auto"/>
              <w:ind w:firstLine="480" w:firstLineChars="200"/>
              <w:rPr>
                <w:sz w:val="24"/>
              </w:rPr>
            </w:pPr>
            <w:r>
              <w:rPr>
                <w:rFonts w:hint="eastAsia"/>
                <w:bCs/>
                <w:sz w:val="24"/>
              </w:rPr>
              <w:t>食堂日用油量以人均30g/天计，则用量为5.4kg/d。油的平均挥发量为总耗油量的2%~3%，本次环评取2.8%，则油烟日产生量为0.15kg/d，年产生量为54.75kg/a。</w:t>
            </w:r>
            <w:bookmarkStart w:id="15" w:name="_Hlk102506188"/>
            <w:r>
              <w:rPr>
                <w:rFonts w:hint="eastAsia"/>
                <w:bCs/>
                <w:sz w:val="24"/>
              </w:rPr>
              <w:t>食堂设一套油烟净化设施，风量为6000m</w:t>
            </w:r>
            <w:r>
              <w:rPr>
                <w:rFonts w:hint="eastAsia"/>
                <w:bCs/>
                <w:sz w:val="24"/>
                <w:vertAlign w:val="superscript"/>
              </w:rPr>
              <w:t>3</w:t>
            </w:r>
            <w:r>
              <w:rPr>
                <w:rFonts w:hint="eastAsia"/>
                <w:bCs/>
                <w:sz w:val="24"/>
              </w:rPr>
              <w:t>/h，运行6h，油烟产生浓度约为4.2mg/m</w:t>
            </w:r>
            <w:r>
              <w:rPr>
                <w:rFonts w:hint="eastAsia"/>
                <w:bCs/>
                <w:sz w:val="24"/>
                <w:vertAlign w:val="superscript"/>
              </w:rPr>
              <w:t>3</w:t>
            </w:r>
            <w:r>
              <w:rPr>
                <w:rFonts w:hint="eastAsia"/>
                <w:bCs/>
                <w:sz w:val="24"/>
              </w:rPr>
              <w:t>。本项目基准灶头3个 ，规模为中型，油烟经油烟净化器（净化效率≥75%）处理后，油烟日排放量为0.04kg/d，年排放量为14.6kg/a（按</w:t>
            </w:r>
            <w:r>
              <w:rPr>
                <w:bCs/>
                <w:sz w:val="24"/>
              </w:rPr>
              <w:t>365d</w:t>
            </w:r>
            <w:r>
              <w:rPr>
                <w:rFonts w:hint="eastAsia"/>
                <w:bCs/>
                <w:sz w:val="24"/>
              </w:rPr>
              <w:t>计），油烟排放浓度为1.11mg/m</w:t>
            </w:r>
            <w:r>
              <w:rPr>
                <w:rFonts w:hint="eastAsia"/>
                <w:bCs/>
                <w:sz w:val="24"/>
                <w:vertAlign w:val="superscript"/>
              </w:rPr>
              <w:t>3</w:t>
            </w:r>
            <w:r>
              <w:rPr>
                <w:rFonts w:hint="eastAsia"/>
                <w:bCs/>
                <w:sz w:val="24"/>
              </w:rPr>
              <w:t>，满足《饮食业油烟排放标准（试行）》（GB184835-2001）中排放浓度限值</w:t>
            </w:r>
            <w:r>
              <w:rPr>
                <w:rFonts w:hint="eastAsia"/>
                <w:sz w:val="24"/>
              </w:rPr>
              <w:t>（2</w:t>
            </w:r>
            <w:r>
              <w:rPr>
                <w:sz w:val="24"/>
              </w:rPr>
              <w:t>mg/m</w:t>
            </w:r>
            <w:r>
              <w:rPr>
                <w:sz w:val="24"/>
                <w:vertAlign w:val="superscript"/>
              </w:rPr>
              <w:t>3</w:t>
            </w:r>
            <w:r>
              <w:rPr>
                <w:rFonts w:hint="eastAsia"/>
                <w:sz w:val="24"/>
              </w:rPr>
              <w:t>）</w:t>
            </w:r>
            <w:r>
              <w:rPr>
                <w:rFonts w:hint="eastAsia"/>
                <w:bCs/>
                <w:sz w:val="24"/>
              </w:rPr>
              <w:t>要求，</w:t>
            </w:r>
            <w:r>
              <w:rPr>
                <w:rFonts w:hint="eastAsia"/>
                <w:sz w:val="24"/>
              </w:rPr>
              <w:t>烟气经专用烟道排放，</w:t>
            </w:r>
            <w:r>
              <w:rPr>
                <w:rFonts w:hint="eastAsia"/>
                <w:bCs/>
                <w:sz w:val="24"/>
              </w:rPr>
              <w:t>对周围空气环境影响较小。</w:t>
            </w:r>
            <w:bookmarkEnd w:id="15"/>
            <w:r>
              <w:rPr>
                <w:rFonts w:hint="eastAsia"/>
                <w:sz w:val="24"/>
              </w:rPr>
              <w:t>因此本项目油烟废气污染防治措施从环保角度分析是可行的。</w:t>
            </w:r>
          </w:p>
          <w:p>
            <w:pPr>
              <w:snapToGrid w:val="0"/>
              <w:spacing w:line="360" w:lineRule="auto"/>
              <w:ind w:firstLine="480" w:firstLineChars="200"/>
              <w:rPr>
                <w:sz w:val="24"/>
              </w:rPr>
            </w:pPr>
            <w:r>
              <w:rPr>
                <w:sz w:val="24"/>
              </w:rPr>
              <w:t>（5）柴油发电机废气</w:t>
            </w:r>
          </w:p>
          <w:p>
            <w:pPr>
              <w:spacing w:line="360" w:lineRule="auto"/>
              <w:ind w:firstLine="480" w:firstLineChars="200"/>
              <w:rPr>
                <w:sz w:val="24"/>
              </w:rPr>
            </w:pPr>
            <w:bookmarkStart w:id="16" w:name="_Hlk102506226"/>
            <w:r>
              <w:rPr>
                <w:rFonts w:hint="eastAsia"/>
                <w:sz w:val="24"/>
              </w:rPr>
              <w:t>本项目设置1台柴油发电机作为应急备用电源，设在设备房内。备用发电机工作时将排放废气，主要污染物为颗粒物、SO</w:t>
            </w:r>
            <w:r>
              <w:rPr>
                <w:rFonts w:hint="eastAsia"/>
                <w:sz w:val="24"/>
                <w:vertAlign w:val="subscript"/>
              </w:rPr>
              <w:t>2</w:t>
            </w:r>
            <w:r>
              <w:rPr>
                <w:rFonts w:hint="eastAsia"/>
                <w:sz w:val="24"/>
              </w:rPr>
              <w:t>及NO</w:t>
            </w:r>
            <w:r>
              <w:rPr>
                <w:rFonts w:hint="eastAsia"/>
                <w:sz w:val="24"/>
                <w:vertAlign w:val="subscript"/>
              </w:rPr>
              <w:t>2</w:t>
            </w:r>
            <w:r>
              <w:rPr>
                <w:rFonts w:hint="eastAsia"/>
                <w:sz w:val="24"/>
              </w:rPr>
              <w:t>，废气由专用烟道引至楼顶排放。发电机属于备用，平常不启动，仅在停电时短时间启动</w:t>
            </w:r>
            <w:bookmarkEnd w:id="16"/>
            <w:r>
              <w:rPr>
                <w:rFonts w:hint="eastAsia"/>
                <w:sz w:val="24"/>
              </w:rPr>
              <w:t>，</w:t>
            </w:r>
            <w:r>
              <w:rPr>
                <w:sz w:val="24"/>
              </w:rPr>
              <w:t>因此发电机尾气排放对周围环境的影响时间很短，影响范围较小。</w:t>
            </w:r>
          </w:p>
          <w:p>
            <w:pPr>
              <w:widowControl/>
              <w:spacing w:line="360" w:lineRule="auto"/>
              <w:ind w:firstLine="480" w:firstLineChars="200"/>
              <w:contextualSpacing/>
              <w:rPr>
                <w:spacing w:val="6"/>
                <w:sz w:val="24"/>
              </w:rPr>
            </w:pPr>
            <w:r>
              <w:rPr>
                <w:sz w:val="24"/>
              </w:rPr>
              <w:t>（6）</w:t>
            </w:r>
            <w:r>
              <w:rPr>
                <w:spacing w:val="6"/>
                <w:sz w:val="24"/>
              </w:rPr>
              <w:t>监测要求</w:t>
            </w:r>
          </w:p>
          <w:p>
            <w:pPr>
              <w:widowControl/>
              <w:spacing w:line="360" w:lineRule="auto"/>
              <w:ind w:firstLine="504" w:firstLineChars="200"/>
              <w:contextualSpacing/>
              <w:rPr>
                <w:spacing w:val="6"/>
                <w:sz w:val="24"/>
              </w:rPr>
            </w:pPr>
            <w:r>
              <w:rPr>
                <w:spacing w:val="6"/>
                <w:sz w:val="24"/>
              </w:rPr>
              <w:t>根据《排污许可证申请与核发技术规范-医疗机构》（HJ1105-2020）、《排污单位自行监测技术指南 火力发电及锅炉》（HJ 820-2017）</w:t>
            </w:r>
            <w:r>
              <w:rPr>
                <w:rFonts w:hint="eastAsia"/>
                <w:spacing w:val="6"/>
                <w:sz w:val="24"/>
              </w:rPr>
              <w:t>及</w:t>
            </w:r>
            <w:r>
              <w:rPr>
                <w:spacing w:val="6"/>
                <w:sz w:val="24"/>
              </w:rPr>
              <w:t>《排污单位自行监测技术指南总则》（HJ19-2017）要求，本项目废气监测计划见表</w:t>
            </w:r>
            <w:r>
              <w:rPr>
                <w:rFonts w:hint="eastAsia"/>
                <w:spacing w:val="6"/>
                <w:sz w:val="24"/>
              </w:rPr>
              <w:t>4-3</w:t>
            </w:r>
            <w:r>
              <w:rPr>
                <w:spacing w:val="6"/>
                <w:sz w:val="24"/>
              </w:rPr>
              <w:t>。</w:t>
            </w:r>
          </w:p>
          <w:p>
            <w:pPr>
              <w:widowControl/>
              <w:snapToGrid w:val="0"/>
              <w:jc w:val="center"/>
              <w:rPr>
                <w:b/>
                <w:snapToGrid w:val="0"/>
                <w:kern w:val="0"/>
                <w:sz w:val="24"/>
              </w:rPr>
            </w:pPr>
            <w:r>
              <w:rPr>
                <w:b/>
                <w:snapToGrid w:val="0"/>
                <w:kern w:val="0"/>
                <w:sz w:val="24"/>
              </w:rPr>
              <w:t>表</w:t>
            </w:r>
            <w:r>
              <w:rPr>
                <w:rFonts w:hint="eastAsia"/>
                <w:b/>
                <w:snapToGrid w:val="0"/>
                <w:kern w:val="0"/>
                <w:sz w:val="24"/>
              </w:rPr>
              <w:t>4-3</w:t>
            </w:r>
            <w:r>
              <w:rPr>
                <w:b/>
                <w:snapToGrid w:val="0"/>
                <w:kern w:val="0"/>
                <w:sz w:val="24"/>
              </w:rPr>
              <w:t xml:space="preserve">  废气监测内容及计划</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1"/>
              <w:gridCol w:w="1083"/>
              <w:gridCol w:w="1745"/>
              <w:gridCol w:w="1389"/>
              <w:gridCol w:w="1053"/>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37" w:type="pct"/>
                  <w:gridSpan w:val="2"/>
                  <w:vAlign w:val="center"/>
                </w:tcPr>
                <w:p>
                  <w:pPr>
                    <w:pStyle w:val="61"/>
                    <w:snapToGrid w:val="0"/>
                    <w:rPr>
                      <w:b/>
                      <w:bCs/>
                    </w:rPr>
                  </w:pPr>
                  <w:r>
                    <w:rPr>
                      <w:b/>
                      <w:bCs/>
                    </w:rPr>
                    <w:t>类别</w:t>
                  </w:r>
                </w:p>
              </w:tc>
              <w:tc>
                <w:tcPr>
                  <w:tcW w:w="1031" w:type="pct"/>
                  <w:vAlign w:val="center"/>
                </w:tcPr>
                <w:p>
                  <w:pPr>
                    <w:pStyle w:val="61"/>
                    <w:snapToGrid w:val="0"/>
                    <w:rPr>
                      <w:b/>
                      <w:bCs/>
                    </w:rPr>
                  </w:pPr>
                  <w:r>
                    <w:rPr>
                      <w:b/>
                      <w:bCs/>
                    </w:rPr>
                    <w:t>监测因子</w:t>
                  </w:r>
                </w:p>
              </w:tc>
              <w:tc>
                <w:tcPr>
                  <w:tcW w:w="821" w:type="pct"/>
                  <w:vAlign w:val="center"/>
                </w:tcPr>
                <w:p>
                  <w:pPr>
                    <w:pStyle w:val="61"/>
                    <w:snapToGrid w:val="0"/>
                    <w:rPr>
                      <w:b/>
                      <w:bCs/>
                    </w:rPr>
                  </w:pPr>
                  <w:r>
                    <w:rPr>
                      <w:b/>
                      <w:bCs/>
                    </w:rPr>
                    <w:t>监测点位</w:t>
                  </w:r>
                </w:p>
              </w:tc>
              <w:tc>
                <w:tcPr>
                  <w:tcW w:w="622" w:type="pct"/>
                  <w:vAlign w:val="center"/>
                </w:tcPr>
                <w:p>
                  <w:pPr>
                    <w:pStyle w:val="61"/>
                    <w:snapToGrid w:val="0"/>
                    <w:rPr>
                      <w:b/>
                      <w:bCs/>
                    </w:rPr>
                  </w:pPr>
                  <w:r>
                    <w:rPr>
                      <w:b/>
                      <w:bCs/>
                    </w:rPr>
                    <w:t>监测频次</w:t>
                  </w:r>
                </w:p>
              </w:tc>
              <w:tc>
                <w:tcPr>
                  <w:tcW w:w="1389" w:type="pct"/>
                  <w:vAlign w:val="center"/>
                </w:tcPr>
                <w:p>
                  <w:pPr>
                    <w:pStyle w:val="61"/>
                    <w:snapToGrid w:val="0"/>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97" w:type="pct"/>
                  <w:vMerge w:val="restart"/>
                  <w:vAlign w:val="center"/>
                </w:tcPr>
                <w:p>
                  <w:pPr>
                    <w:pStyle w:val="61"/>
                    <w:snapToGrid w:val="0"/>
                  </w:pPr>
                  <w:r>
                    <w:rPr>
                      <w:rFonts w:hint="eastAsia"/>
                    </w:rPr>
                    <w:t>有组织废气</w:t>
                  </w:r>
                </w:p>
              </w:tc>
              <w:tc>
                <w:tcPr>
                  <w:tcW w:w="639" w:type="pct"/>
                  <w:vAlign w:val="center"/>
                </w:tcPr>
                <w:p>
                  <w:pPr>
                    <w:pStyle w:val="61"/>
                    <w:snapToGrid w:val="0"/>
                  </w:pPr>
                  <w:r>
                    <w:rPr>
                      <w:rFonts w:hint="eastAsia"/>
                    </w:rPr>
                    <w:t>污水处理站废气</w:t>
                  </w:r>
                </w:p>
              </w:tc>
              <w:tc>
                <w:tcPr>
                  <w:tcW w:w="1031" w:type="pct"/>
                  <w:vAlign w:val="center"/>
                </w:tcPr>
                <w:p>
                  <w:pPr>
                    <w:pStyle w:val="61"/>
                    <w:snapToGrid w:val="0"/>
                  </w:pPr>
                  <w:r>
                    <w:t>氨、硫化氢、臭气浓度</w:t>
                  </w:r>
                </w:p>
              </w:tc>
              <w:tc>
                <w:tcPr>
                  <w:tcW w:w="821" w:type="pct"/>
                  <w:vAlign w:val="center"/>
                </w:tcPr>
                <w:p>
                  <w:pPr>
                    <w:pStyle w:val="61"/>
                    <w:snapToGrid w:val="0"/>
                  </w:pPr>
                  <w:r>
                    <w:rPr>
                      <w:rFonts w:hint="eastAsia"/>
                    </w:rPr>
                    <w:t>排气筒口P</w:t>
                  </w:r>
                  <w:r>
                    <w:t>1</w:t>
                  </w:r>
                </w:p>
              </w:tc>
              <w:tc>
                <w:tcPr>
                  <w:tcW w:w="622" w:type="pct"/>
                  <w:vAlign w:val="center"/>
                </w:tcPr>
                <w:p>
                  <w:pPr>
                    <w:snapToGrid w:val="0"/>
                    <w:jc w:val="center"/>
                    <w:rPr>
                      <w:szCs w:val="21"/>
                    </w:rPr>
                  </w:pPr>
                  <w:r>
                    <w:rPr>
                      <w:szCs w:val="21"/>
                    </w:rPr>
                    <w:t>1次/</w:t>
                  </w:r>
                  <w:r>
                    <w:rPr>
                      <w:rFonts w:hint="eastAsia"/>
                      <w:szCs w:val="21"/>
                    </w:rPr>
                    <w:t>季度</w:t>
                  </w:r>
                </w:p>
              </w:tc>
              <w:tc>
                <w:tcPr>
                  <w:tcW w:w="1389" w:type="pct"/>
                  <w:vAlign w:val="center"/>
                </w:tcPr>
                <w:p>
                  <w:pPr>
                    <w:snapToGrid w:val="0"/>
                    <w:jc w:val="center"/>
                    <w:rPr>
                      <w:szCs w:val="21"/>
                    </w:rPr>
                  </w:pPr>
                  <w:r>
                    <w:rPr>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97" w:type="pct"/>
                  <w:vMerge w:val="continue"/>
                  <w:vAlign w:val="center"/>
                </w:tcPr>
                <w:p>
                  <w:pPr>
                    <w:pStyle w:val="61"/>
                    <w:snapToGrid w:val="0"/>
                  </w:pPr>
                </w:p>
              </w:tc>
              <w:tc>
                <w:tcPr>
                  <w:tcW w:w="639" w:type="pct"/>
                  <w:vMerge w:val="restart"/>
                  <w:vAlign w:val="center"/>
                </w:tcPr>
                <w:p>
                  <w:pPr>
                    <w:pStyle w:val="61"/>
                    <w:snapToGrid w:val="0"/>
                  </w:pPr>
                  <w:r>
                    <w:rPr>
                      <w:rFonts w:hint="eastAsia"/>
                    </w:rPr>
                    <w:t>锅炉废气</w:t>
                  </w:r>
                </w:p>
              </w:tc>
              <w:tc>
                <w:tcPr>
                  <w:tcW w:w="1031" w:type="pct"/>
                  <w:vAlign w:val="center"/>
                </w:tcPr>
                <w:p>
                  <w:pPr>
                    <w:pStyle w:val="61"/>
                    <w:spacing w:line="320" w:lineRule="exact"/>
                  </w:pPr>
                  <w:r>
                    <w:rPr>
                      <w:rFonts w:hint="eastAsia"/>
                    </w:rPr>
                    <w:t>颗粒物、SO</w:t>
                  </w:r>
                  <w:r>
                    <w:rPr>
                      <w:rFonts w:hint="eastAsia"/>
                      <w:vertAlign w:val="subscript"/>
                    </w:rPr>
                    <w:t>2</w:t>
                  </w:r>
                  <w:r>
                    <w:t xml:space="preserve"> </w:t>
                  </w:r>
                </w:p>
              </w:tc>
              <w:tc>
                <w:tcPr>
                  <w:tcW w:w="821" w:type="pct"/>
                  <w:vMerge w:val="restart"/>
                  <w:vAlign w:val="center"/>
                </w:tcPr>
                <w:p>
                  <w:pPr>
                    <w:pStyle w:val="61"/>
                    <w:snapToGrid w:val="0"/>
                  </w:pPr>
                  <w:r>
                    <w:rPr>
                      <w:rFonts w:hint="eastAsia"/>
                    </w:rPr>
                    <w:t>排气筒口P</w:t>
                  </w:r>
                  <w:r>
                    <w:t>2</w:t>
                  </w:r>
                </w:p>
              </w:tc>
              <w:tc>
                <w:tcPr>
                  <w:tcW w:w="622" w:type="pct"/>
                  <w:vAlign w:val="center"/>
                </w:tcPr>
                <w:p>
                  <w:pPr>
                    <w:pStyle w:val="61"/>
                    <w:spacing w:line="320" w:lineRule="exact"/>
                  </w:pPr>
                  <w:r>
                    <w:rPr>
                      <w:rFonts w:hint="eastAsia"/>
                    </w:rPr>
                    <w:t>1次/年</w:t>
                  </w:r>
                </w:p>
              </w:tc>
              <w:tc>
                <w:tcPr>
                  <w:tcW w:w="1389" w:type="pct"/>
                  <w:vMerge w:val="restart"/>
                  <w:vAlign w:val="center"/>
                </w:tcPr>
                <w:p>
                  <w:pPr>
                    <w:snapToGrid w:val="0"/>
                    <w:jc w:val="center"/>
                    <w:rPr>
                      <w:szCs w:val="21"/>
                    </w:rPr>
                  </w:pPr>
                  <w:r>
                    <w:rPr>
                      <w:szCs w:val="21"/>
                    </w:rPr>
                    <w:t>《锅炉大气污染物排放标准》（</w:t>
                  </w:r>
                  <w:r>
                    <w:rPr>
                      <w:rFonts w:hint="eastAsia"/>
                      <w:szCs w:val="21"/>
                    </w:rPr>
                    <w:t>DB 61/1226</w:t>
                  </w:r>
                  <w:r>
                    <w:rPr>
                      <w:szCs w:val="21"/>
                    </w:rPr>
                    <w:t>-201</w:t>
                  </w:r>
                  <w:r>
                    <w:rPr>
                      <w:rFonts w:hint="eastAsia"/>
                      <w:szCs w:val="21"/>
                    </w:rPr>
                    <w:t>8</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97" w:type="pct"/>
                  <w:vMerge w:val="continue"/>
                  <w:vAlign w:val="center"/>
                </w:tcPr>
                <w:p>
                  <w:pPr>
                    <w:pStyle w:val="61"/>
                    <w:snapToGrid w:val="0"/>
                  </w:pPr>
                </w:p>
              </w:tc>
              <w:tc>
                <w:tcPr>
                  <w:tcW w:w="639" w:type="pct"/>
                  <w:vMerge w:val="continue"/>
                  <w:vAlign w:val="center"/>
                </w:tcPr>
                <w:p>
                  <w:pPr>
                    <w:pStyle w:val="61"/>
                    <w:snapToGrid w:val="0"/>
                  </w:pPr>
                </w:p>
              </w:tc>
              <w:tc>
                <w:tcPr>
                  <w:tcW w:w="1031" w:type="pct"/>
                  <w:vAlign w:val="center"/>
                </w:tcPr>
                <w:p>
                  <w:pPr>
                    <w:pStyle w:val="61"/>
                    <w:spacing w:line="320" w:lineRule="exact"/>
                  </w:pPr>
                  <w:r>
                    <w:rPr>
                      <w:rFonts w:hint="eastAsia"/>
                    </w:rPr>
                    <w:t>NOx</w:t>
                  </w:r>
                </w:p>
              </w:tc>
              <w:tc>
                <w:tcPr>
                  <w:tcW w:w="821" w:type="pct"/>
                  <w:vMerge w:val="continue"/>
                  <w:vAlign w:val="center"/>
                </w:tcPr>
                <w:p>
                  <w:pPr>
                    <w:pStyle w:val="61"/>
                    <w:snapToGrid w:val="0"/>
                  </w:pPr>
                </w:p>
              </w:tc>
              <w:tc>
                <w:tcPr>
                  <w:tcW w:w="622" w:type="pct"/>
                  <w:vAlign w:val="center"/>
                </w:tcPr>
                <w:p>
                  <w:pPr>
                    <w:pStyle w:val="61"/>
                    <w:spacing w:line="320" w:lineRule="exact"/>
                  </w:pPr>
                  <w:r>
                    <w:rPr>
                      <w:rFonts w:hint="eastAsia"/>
                    </w:rPr>
                    <w:t>1次/月</w:t>
                  </w:r>
                </w:p>
              </w:tc>
              <w:tc>
                <w:tcPr>
                  <w:tcW w:w="1389" w:type="pct"/>
                  <w:vMerge w:val="continue"/>
                  <w:vAlign w:val="center"/>
                </w:tcPr>
                <w:p>
                  <w:pPr>
                    <w:snapToGrid w:val="0"/>
                    <w:jc w:val="center"/>
                    <w:rPr>
                      <w:szCs w:val="21"/>
                    </w:rPr>
                  </w:pPr>
                </w:p>
              </w:tc>
            </w:tr>
          </w:tbl>
          <w:p>
            <w:pPr>
              <w:widowControl/>
              <w:spacing w:line="360" w:lineRule="auto"/>
              <w:ind w:firstLine="482" w:firstLineChars="200"/>
              <w:contextualSpacing/>
              <w:rPr>
                <w:b/>
                <w:kern w:val="0"/>
                <w:sz w:val="24"/>
              </w:rPr>
            </w:pPr>
            <w:r>
              <w:rPr>
                <w:b/>
                <w:kern w:val="0"/>
                <w:sz w:val="24"/>
              </w:rPr>
              <w:t>2、废水</w:t>
            </w:r>
          </w:p>
          <w:p>
            <w:pPr>
              <w:widowControl/>
              <w:spacing w:line="360" w:lineRule="auto"/>
              <w:ind w:firstLine="480" w:firstLineChars="200"/>
              <w:contextualSpacing/>
              <w:rPr>
                <w:sz w:val="24"/>
              </w:rPr>
            </w:pPr>
            <w:bookmarkStart w:id="17" w:name="_Hlk72613956"/>
            <w:r>
              <w:rPr>
                <w:sz w:val="24"/>
              </w:rPr>
              <w:t>（1）废水产生环节、产生浓度及产生量</w:t>
            </w:r>
          </w:p>
          <w:p>
            <w:pPr>
              <w:spacing w:line="360" w:lineRule="auto"/>
              <w:ind w:firstLine="482"/>
              <w:rPr>
                <w:sz w:val="24"/>
              </w:rPr>
            </w:pPr>
            <w:bookmarkStart w:id="18" w:name="_Hlk102506483"/>
            <w:r>
              <w:rPr>
                <w:sz w:val="24"/>
              </w:rPr>
              <w:t>本项目</w:t>
            </w:r>
            <w:r>
              <w:rPr>
                <w:rFonts w:hint="eastAsia"/>
                <w:sz w:val="24"/>
              </w:rPr>
              <w:t>无</w:t>
            </w:r>
            <w:r>
              <w:rPr>
                <w:sz w:val="24"/>
              </w:rPr>
              <w:t>传染病科</w:t>
            </w:r>
            <w:r>
              <w:rPr>
                <w:rFonts w:hint="eastAsia"/>
                <w:sz w:val="24"/>
              </w:rPr>
              <w:t>，医疗污水不含传染性病菌、病毒；项目采用电脑洗相，不使用显影液、定影液等溶剂，因此无显影废液产生，不产生放射性废水；项目检验采用试剂盒进行检验，不采用手工配置含氰、铬、酸试剂的方法化验，使用后的残留废液随检验样本作为医疗废物收集至医院的医疗固废暂存间，交由资质单位处置，因此无含氰化物及重金属废水产生；口腔科补牙材料为树脂类，不采用银汞合金，无含汞废水产生；且</w:t>
            </w:r>
            <w:r>
              <w:rPr>
                <w:sz w:val="24"/>
              </w:rPr>
              <w:t>本次环评不涉及放射性废水。</w:t>
            </w:r>
            <w:r>
              <w:rPr>
                <w:rFonts w:hint="eastAsia"/>
                <w:sz w:val="24"/>
              </w:rPr>
              <w:t>因此，本项目废水为一般性医疗废水。</w:t>
            </w:r>
          </w:p>
          <w:p>
            <w:pPr>
              <w:spacing w:line="360" w:lineRule="auto"/>
              <w:ind w:firstLine="482"/>
              <w:rPr>
                <w:sz w:val="24"/>
              </w:rPr>
            </w:pPr>
            <w:r>
              <w:rPr>
                <w:rFonts w:hint="eastAsia"/>
                <w:sz w:val="24"/>
              </w:rPr>
              <w:t>由于医院病区和非病区产生的污水分别经管道排入医院污水处理站进行处理，因此产生的废水均视为医疗污水。</w:t>
            </w:r>
          </w:p>
          <w:bookmarkEnd w:id="18"/>
          <w:p>
            <w:pPr>
              <w:spacing w:line="360" w:lineRule="auto"/>
              <w:ind w:firstLine="480" w:firstLineChars="200"/>
              <w:rPr>
                <w:sz w:val="24"/>
              </w:rPr>
            </w:pPr>
            <w:r>
              <w:rPr>
                <w:sz w:val="24"/>
              </w:rPr>
              <w:t>根据工程分析，废水总量为45.95m</w:t>
            </w:r>
            <w:r>
              <w:rPr>
                <w:sz w:val="24"/>
                <w:vertAlign w:val="superscript"/>
              </w:rPr>
              <w:t>3</w:t>
            </w:r>
            <w:r>
              <w:rPr>
                <w:sz w:val="24"/>
              </w:rPr>
              <w:t>/d、16770.49m</w:t>
            </w:r>
            <w:r>
              <w:rPr>
                <w:sz w:val="24"/>
                <w:vertAlign w:val="superscript"/>
              </w:rPr>
              <w:t>3</w:t>
            </w:r>
            <w:r>
              <w:rPr>
                <w:sz w:val="24"/>
              </w:rPr>
              <w:t>/a。废水主要污染物为COD、BOD</w:t>
            </w:r>
            <w:r>
              <w:rPr>
                <w:sz w:val="24"/>
                <w:vertAlign w:val="subscript"/>
              </w:rPr>
              <w:t>5</w:t>
            </w:r>
            <w:r>
              <w:rPr>
                <w:sz w:val="24"/>
              </w:rPr>
              <w:t>、SS、氨氮、粪大肠菌群等。医疗废水水质参考《医院污水处理工程技术规范》（HJ2029-2013）中的数据选取。本项目污染物产排情况见表4-4。</w:t>
            </w:r>
          </w:p>
          <w:p>
            <w:pPr>
              <w:snapToGrid w:val="0"/>
              <w:jc w:val="center"/>
              <w:rPr>
                <w:b/>
                <w:bCs/>
                <w:sz w:val="24"/>
              </w:rPr>
            </w:pPr>
            <w:r>
              <w:rPr>
                <w:b/>
                <w:bCs/>
                <w:sz w:val="24"/>
              </w:rPr>
              <w:t>表</w:t>
            </w:r>
            <w:r>
              <w:rPr>
                <w:rFonts w:hint="eastAsia"/>
                <w:b/>
                <w:bCs/>
                <w:sz w:val="24"/>
              </w:rPr>
              <w:t>4-4</w:t>
            </w:r>
            <w:r>
              <w:rPr>
                <w:b/>
                <w:bCs/>
                <w:sz w:val="24"/>
              </w:rPr>
              <w:t xml:space="preserve">    本项目废水产生情况一览表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105"/>
              <w:gridCol w:w="1517"/>
              <w:gridCol w:w="1120"/>
              <w:gridCol w:w="1138"/>
              <w:gridCol w:w="809"/>
              <w:gridCol w:w="835"/>
              <w:gridCol w:w="73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vAlign w:val="center"/>
                </w:tcPr>
                <w:p>
                  <w:pPr>
                    <w:snapToGrid w:val="0"/>
                    <w:jc w:val="center"/>
                    <w:rPr>
                      <w:b/>
                      <w:bCs/>
                      <w:snapToGrid w:val="0"/>
                      <w:spacing w:val="-10"/>
                      <w:szCs w:val="21"/>
                    </w:rPr>
                  </w:pPr>
                  <w:r>
                    <w:rPr>
                      <w:b/>
                      <w:bCs/>
                      <w:snapToGrid w:val="0"/>
                      <w:spacing w:val="-10"/>
                      <w:szCs w:val="21"/>
                    </w:rPr>
                    <w:t>废水类型</w:t>
                  </w:r>
                </w:p>
              </w:tc>
              <w:tc>
                <w:tcPr>
                  <w:tcW w:w="682" w:type="pct"/>
                  <w:vMerge w:val="restart"/>
                  <w:vAlign w:val="center"/>
                </w:tcPr>
                <w:p>
                  <w:pPr>
                    <w:snapToGrid w:val="0"/>
                    <w:jc w:val="center"/>
                    <w:rPr>
                      <w:b/>
                      <w:bCs/>
                      <w:snapToGrid w:val="0"/>
                      <w:spacing w:val="-10"/>
                      <w:szCs w:val="21"/>
                    </w:rPr>
                  </w:pPr>
                  <w:r>
                    <w:rPr>
                      <w:b/>
                      <w:bCs/>
                      <w:snapToGrid w:val="0"/>
                      <w:spacing w:val="-10"/>
                      <w:szCs w:val="21"/>
                    </w:rPr>
                    <w:t>污染物种类</w:t>
                  </w:r>
                </w:p>
              </w:tc>
              <w:tc>
                <w:tcPr>
                  <w:tcW w:w="1388" w:type="pct"/>
                  <w:gridSpan w:val="2"/>
                  <w:vAlign w:val="center"/>
                </w:tcPr>
                <w:p>
                  <w:pPr>
                    <w:snapToGrid w:val="0"/>
                    <w:jc w:val="center"/>
                    <w:rPr>
                      <w:b/>
                      <w:bCs/>
                      <w:snapToGrid w:val="0"/>
                      <w:spacing w:val="-10"/>
                      <w:szCs w:val="21"/>
                    </w:rPr>
                  </w:pPr>
                  <w:r>
                    <w:rPr>
                      <w:b/>
                      <w:bCs/>
                      <w:snapToGrid w:val="0"/>
                      <w:spacing w:val="-10"/>
                      <w:szCs w:val="21"/>
                    </w:rPr>
                    <w:t>产生情况</w:t>
                  </w:r>
                </w:p>
              </w:tc>
              <w:tc>
                <w:tcPr>
                  <w:tcW w:w="1701" w:type="pct"/>
                  <w:gridSpan w:val="3"/>
                  <w:vAlign w:val="center"/>
                </w:tcPr>
                <w:p>
                  <w:pPr>
                    <w:snapToGrid w:val="0"/>
                    <w:jc w:val="center"/>
                    <w:rPr>
                      <w:b/>
                      <w:bCs/>
                      <w:snapToGrid w:val="0"/>
                      <w:spacing w:val="-10"/>
                      <w:szCs w:val="21"/>
                    </w:rPr>
                  </w:pPr>
                  <w:r>
                    <w:rPr>
                      <w:b/>
                      <w:bCs/>
                      <w:snapToGrid w:val="0"/>
                      <w:spacing w:val="-10"/>
                      <w:szCs w:val="21"/>
                    </w:rPr>
                    <w:t>治理设施</w:t>
                  </w:r>
                </w:p>
              </w:tc>
              <w:tc>
                <w:tcPr>
                  <w:tcW w:w="882" w:type="pct"/>
                  <w:gridSpan w:val="2"/>
                  <w:vAlign w:val="center"/>
                </w:tcPr>
                <w:p>
                  <w:pPr>
                    <w:snapToGrid w:val="0"/>
                    <w:jc w:val="center"/>
                    <w:rPr>
                      <w:b/>
                      <w:bCs/>
                      <w:snapToGrid w:val="0"/>
                      <w:spacing w:val="-10"/>
                      <w:szCs w:val="21"/>
                    </w:rPr>
                  </w:pPr>
                  <w:r>
                    <w:rPr>
                      <w:b/>
                      <w:bCs/>
                      <w:snapToGrid w:val="0"/>
                      <w:spacing w:val="-1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pPr>
                    <w:snapToGrid w:val="0"/>
                    <w:jc w:val="center"/>
                    <w:rPr>
                      <w:b/>
                      <w:bCs/>
                      <w:snapToGrid w:val="0"/>
                      <w:spacing w:val="-10"/>
                      <w:szCs w:val="21"/>
                    </w:rPr>
                  </w:pPr>
                </w:p>
              </w:tc>
              <w:tc>
                <w:tcPr>
                  <w:tcW w:w="682" w:type="pct"/>
                  <w:vMerge w:val="continue"/>
                  <w:vAlign w:val="center"/>
                </w:tcPr>
                <w:p>
                  <w:pPr>
                    <w:snapToGrid w:val="0"/>
                    <w:jc w:val="center"/>
                    <w:rPr>
                      <w:b/>
                      <w:bCs/>
                      <w:snapToGrid w:val="0"/>
                      <w:spacing w:val="-10"/>
                      <w:szCs w:val="21"/>
                    </w:rPr>
                  </w:pPr>
                </w:p>
              </w:tc>
              <w:tc>
                <w:tcPr>
                  <w:tcW w:w="697" w:type="pct"/>
                  <w:vAlign w:val="center"/>
                </w:tcPr>
                <w:p>
                  <w:pPr>
                    <w:snapToGrid w:val="0"/>
                    <w:jc w:val="center"/>
                    <w:rPr>
                      <w:b/>
                      <w:bCs/>
                      <w:snapToGrid w:val="0"/>
                      <w:spacing w:val="-10"/>
                      <w:szCs w:val="21"/>
                    </w:rPr>
                  </w:pPr>
                  <w:r>
                    <w:rPr>
                      <w:b/>
                      <w:bCs/>
                      <w:snapToGrid w:val="0"/>
                      <w:spacing w:val="-10"/>
                      <w:szCs w:val="21"/>
                    </w:rPr>
                    <w:t>浓度(mg/L)</w:t>
                  </w:r>
                </w:p>
              </w:tc>
              <w:tc>
                <w:tcPr>
                  <w:tcW w:w="691" w:type="pct"/>
                  <w:vAlign w:val="center"/>
                </w:tcPr>
                <w:p>
                  <w:pPr>
                    <w:snapToGrid w:val="0"/>
                    <w:jc w:val="center"/>
                    <w:rPr>
                      <w:b/>
                      <w:bCs/>
                      <w:snapToGrid w:val="0"/>
                      <w:spacing w:val="-10"/>
                      <w:szCs w:val="21"/>
                    </w:rPr>
                  </w:pPr>
                  <w:r>
                    <w:rPr>
                      <w:b/>
                      <w:bCs/>
                      <w:snapToGrid w:val="0"/>
                      <w:spacing w:val="-10"/>
                      <w:szCs w:val="21"/>
                    </w:rPr>
                    <w:t>产生量</w:t>
                  </w:r>
                </w:p>
                <w:p>
                  <w:pPr>
                    <w:snapToGrid w:val="0"/>
                    <w:jc w:val="center"/>
                    <w:rPr>
                      <w:b/>
                      <w:bCs/>
                      <w:snapToGrid w:val="0"/>
                      <w:spacing w:val="-10"/>
                      <w:szCs w:val="21"/>
                    </w:rPr>
                  </w:pPr>
                  <w:r>
                    <w:rPr>
                      <w:b/>
                      <w:bCs/>
                      <w:snapToGrid w:val="0"/>
                      <w:spacing w:val="-10"/>
                      <w:szCs w:val="21"/>
                    </w:rPr>
                    <w:t>(t/a)</w:t>
                  </w:r>
                </w:p>
              </w:tc>
              <w:tc>
                <w:tcPr>
                  <w:tcW w:w="701" w:type="pct"/>
                  <w:vAlign w:val="center"/>
                </w:tcPr>
                <w:p>
                  <w:pPr>
                    <w:snapToGrid w:val="0"/>
                    <w:jc w:val="center"/>
                    <w:rPr>
                      <w:b/>
                      <w:bCs/>
                      <w:snapToGrid w:val="0"/>
                      <w:spacing w:val="-10"/>
                      <w:szCs w:val="21"/>
                    </w:rPr>
                  </w:pPr>
                  <w:r>
                    <w:rPr>
                      <w:b/>
                      <w:bCs/>
                      <w:snapToGrid w:val="0"/>
                      <w:spacing w:val="-10"/>
                      <w:szCs w:val="21"/>
                    </w:rPr>
                    <w:t>治理工艺</w:t>
                  </w:r>
                </w:p>
              </w:tc>
              <w:tc>
                <w:tcPr>
                  <w:tcW w:w="478" w:type="pct"/>
                  <w:vAlign w:val="center"/>
                </w:tcPr>
                <w:p>
                  <w:pPr>
                    <w:snapToGrid w:val="0"/>
                    <w:jc w:val="center"/>
                    <w:rPr>
                      <w:b/>
                      <w:bCs/>
                      <w:snapToGrid w:val="0"/>
                      <w:spacing w:val="-10"/>
                      <w:szCs w:val="21"/>
                    </w:rPr>
                  </w:pPr>
                  <w:r>
                    <w:rPr>
                      <w:b/>
                      <w:bCs/>
                      <w:snapToGrid w:val="0"/>
                      <w:spacing w:val="-10"/>
                      <w:szCs w:val="21"/>
                    </w:rPr>
                    <w:t>处理效率</w:t>
                  </w:r>
                </w:p>
              </w:tc>
              <w:tc>
                <w:tcPr>
                  <w:tcW w:w="521" w:type="pct"/>
                  <w:vAlign w:val="center"/>
                </w:tcPr>
                <w:p>
                  <w:pPr>
                    <w:snapToGrid w:val="0"/>
                    <w:jc w:val="center"/>
                    <w:rPr>
                      <w:b/>
                      <w:bCs/>
                      <w:snapToGrid w:val="0"/>
                      <w:spacing w:val="-17"/>
                      <w:szCs w:val="21"/>
                    </w:rPr>
                  </w:pPr>
                  <w:r>
                    <w:rPr>
                      <w:b/>
                      <w:bCs/>
                      <w:snapToGrid w:val="0"/>
                      <w:spacing w:val="-17"/>
                      <w:szCs w:val="21"/>
                    </w:rPr>
                    <w:t>是否为可行技术</w:t>
                  </w:r>
                </w:p>
              </w:tc>
              <w:tc>
                <w:tcPr>
                  <w:tcW w:w="448" w:type="pct"/>
                  <w:vAlign w:val="center"/>
                </w:tcPr>
                <w:p>
                  <w:pPr>
                    <w:snapToGrid w:val="0"/>
                    <w:jc w:val="center"/>
                    <w:rPr>
                      <w:b/>
                      <w:bCs/>
                      <w:snapToGrid w:val="0"/>
                      <w:spacing w:val="-10"/>
                      <w:szCs w:val="21"/>
                    </w:rPr>
                  </w:pPr>
                  <w:r>
                    <w:rPr>
                      <w:b/>
                      <w:bCs/>
                      <w:snapToGrid w:val="0"/>
                      <w:spacing w:val="-10"/>
                      <w:szCs w:val="21"/>
                    </w:rPr>
                    <w:t>浓度</w:t>
                  </w:r>
                  <w:r>
                    <w:rPr>
                      <w:b/>
                      <w:bCs/>
                      <w:snapToGrid w:val="0"/>
                      <w:spacing w:val="-17"/>
                      <w:szCs w:val="21"/>
                    </w:rPr>
                    <w:t>(mg/L)</w:t>
                  </w:r>
                </w:p>
              </w:tc>
              <w:tc>
                <w:tcPr>
                  <w:tcW w:w="434" w:type="pct"/>
                  <w:vAlign w:val="center"/>
                </w:tcPr>
                <w:p>
                  <w:pPr>
                    <w:snapToGrid w:val="0"/>
                    <w:jc w:val="center"/>
                    <w:rPr>
                      <w:b/>
                      <w:bCs/>
                      <w:snapToGrid w:val="0"/>
                      <w:spacing w:val="-10"/>
                      <w:szCs w:val="21"/>
                    </w:rPr>
                  </w:pPr>
                  <w:r>
                    <w:rPr>
                      <w:b/>
                      <w:bCs/>
                      <w:snapToGrid w:val="0"/>
                      <w:spacing w:val="-10"/>
                      <w:szCs w:val="21"/>
                    </w:rPr>
                    <w:t>排放量</w:t>
                  </w:r>
                </w:p>
                <w:p>
                  <w:pPr>
                    <w:snapToGrid w:val="0"/>
                    <w:jc w:val="center"/>
                    <w:rPr>
                      <w:b/>
                      <w:bCs/>
                      <w:snapToGrid w:val="0"/>
                      <w:spacing w:val="-10"/>
                      <w:szCs w:val="21"/>
                    </w:rPr>
                  </w:pPr>
                  <w:r>
                    <w:rPr>
                      <w:b/>
                      <w:bCs/>
                      <w:snapToGrid w:val="0"/>
                      <w:spacing w:val="-1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vAlign w:val="center"/>
                </w:tcPr>
                <w:p>
                  <w:pPr>
                    <w:snapToGrid w:val="0"/>
                    <w:jc w:val="center"/>
                    <w:rPr>
                      <w:snapToGrid w:val="0"/>
                      <w:spacing w:val="-11"/>
                      <w:szCs w:val="21"/>
                    </w:rPr>
                  </w:pPr>
                  <w:r>
                    <w:rPr>
                      <w:snapToGrid w:val="0"/>
                      <w:spacing w:val="-11"/>
                      <w:szCs w:val="21"/>
                    </w:rPr>
                    <w:t>医疗废水</w:t>
                  </w:r>
                </w:p>
              </w:tc>
              <w:tc>
                <w:tcPr>
                  <w:tcW w:w="682" w:type="pct"/>
                  <w:vAlign w:val="center"/>
                </w:tcPr>
                <w:p>
                  <w:pPr>
                    <w:snapToGrid w:val="0"/>
                    <w:jc w:val="center"/>
                    <w:rPr>
                      <w:snapToGrid w:val="0"/>
                      <w:spacing w:val="-11"/>
                      <w:szCs w:val="21"/>
                    </w:rPr>
                  </w:pPr>
                  <w:r>
                    <w:rPr>
                      <w:snapToGrid w:val="0"/>
                      <w:spacing w:val="-11"/>
                      <w:szCs w:val="21"/>
                    </w:rPr>
                    <w:t>COD</w:t>
                  </w:r>
                </w:p>
              </w:tc>
              <w:tc>
                <w:tcPr>
                  <w:tcW w:w="697" w:type="pct"/>
                  <w:vAlign w:val="center"/>
                </w:tcPr>
                <w:p>
                  <w:pPr>
                    <w:snapToGrid w:val="0"/>
                    <w:jc w:val="center"/>
                    <w:rPr>
                      <w:szCs w:val="21"/>
                    </w:rPr>
                  </w:pPr>
                  <w:r>
                    <w:rPr>
                      <w:szCs w:val="21"/>
                    </w:rPr>
                    <w:t>250</w:t>
                  </w:r>
                </w:p>
              </w:tc>
              <w:tc>
                <w:tcPr>
                  <w:tcW w:w="691" w:type="pct"/>
                  <w:vAlign w:val="center"/>
                </w:tcPr>
                <w:p>
                  <w:pPr>
                    <w:snapToGrid w:val="0"/>
                    <w:jc w:val="center"/>
                    <w:rPr>
                      <w:spacing w:val="-11"/>
                      <w:szCs w:val="21"/>
                    </w:rPr>
                  </w:pPr>
                  <w:r>
                    <w:rPr>
                      <w:rFonts w:hint="eastAsia"/>
                      <w:spacing w:val="-11"/>
                      <w:szCs w:val="21"/>
                    </w:rPr>
                    <w:t>4.</w:t>
                  </w:r>
                  <w:r>
                    <w:rPr>
                      <w:spacing w:val="-11"/>
                      <w:szCs w:val="21"/>
                    </w:rPr>
                    <w:t>19</w:t>
                  </w:r>
                </w:p>
              </w:tc>
              <w:tc>
                <w:tcPr>
                  <w:tcW w:w="701" w:type="pct"/>
                  <w:vMerge w:val="restart"/>
                  <w:vAlign w:val="center"/>
                </w:tcPr>
                <w:p>
                  <w:pPr>
                    <w:snapToGrid w:val="0"/>
                    <w:rPr>
                      <w:spacing w:val="-6"/>
                      <w:szCs w:val="21"/>
                    </w:rPr>
                  </w:pPr>
                  <w:r>
                    <w:rPr>
                      <w:rFonts w:hint="eastAsia"/>
                      <w:spacing w:val="-6"/>
                    </w:rPr>
                    <w:t>污水处理站（“</w:t>
                  </w:r>
                  <w:r>
                    <w:rPr>
                      <w:spacing w:val="-6"/>
                    </w:rPr>
                    <w:t>调节池+混凝沉淀</w:t>
                  </w:r>
                  <w:r>
                    <w:rPr>
                      <w:rFonts w:hint="eastAsia"/>
                      <w:spacing w:val="-6"/>
                    </w:rPr>
                    <w:t>（一级强化）</w:t>
                  </w:r>
                  <w:r>
                    <w:rPr>
                      <w:spacing w:val="-6"/>
                    </w:rPr>
                    <w:t>+</w:t>
                  </w:r>
                  <w:r>
                    <w:rPr>
                      <w:rFonts w:hint="eastAsia"/>
                      <w:spacing w:val="-6"/>
                    </w:rPr>
                    <w:t>次氯酸钠</w:t>
                  </w:r>
                  <w:r>
                    <w:rPr>
                      <w:spacing w:val="-6"/>
                    </w:rPr>
                    <w:t>消毒</w:t>
                  </w:r>
                  <w:r>
                    <w:rPr>
                      <w:rFonts w:hint="eastAsia"/>
                      <w:spacing w:val="-6"/>
                    </w:rPr>
                    <w:t>”）</w:t>
                  </w:r>
                </w:p>
              </w:tc>
              <w:tc>
                <w:tcPr>
                  <w:tcW w:w="478" w:type="pct"/>
                  <w:vAlign w:val="center"/>
                </w:tcPr>
                <w:p>
                  <w:pPr>
                    <w:snapToGrid w:val="0"/>
                    <w:jc w:val="center"/>
                    <w:rPr>
                      <w:szCs w:val="21"/>
                    </w:rPr>
                  </w:pPr>
                  <w:r>
                    <w:rPr>
                      <w:szCs w:val="21"/>
                    </w:rPr>
                    <w:t>60%</w:t>
                  </w:r>
                </w:p>
              </w:tc>
              <w:tc>
                <w:tcPr>
                  <w:tcW w:w="521" w:type="pct"/>
                  <w:vAlign w:val="center"/>
                </w:tcPr>
                <w:p>
                  <w:pPr>
                    <w:snapToGrid w:val="0"/>
                    <w:jc w:val="center"/>
                    <w:rPr>
                      <w:szCs w:val="21"/>
                    </w:rPr>
                  </w:pPr>
                  <w:r>
                    <w:rPr>
                      <w:szCs w:val="21"/>
                    </w:rPr>
                    <w:t>是</w:t>
                  </w:r>
                </w:p>
              </w:tc>
              <w:tc>
                <w:tcPr>
                  <w:tcW w:w="448" w:type="pct"/>
                  <w:vAlign w:val="center"/>
                </w:tcPr>
                <w:p>
                  <w:pPr>
                    <w:snapToGrid w:val="0"/>
                    <w:jc w:val="center"/>
                    <w:rPr>
                      <w:szCs w:val="21"/>
                    </w:rPr>
                  </w:pPr>
                  <w:r>
                    <w:rPr>
                      <w:rFonts w:hint="eastAsia"/>
                      <w:szCs w:val="21"/>
                    </w:rPr>
                    <w:t>100</w:t>
                  </w:r>
                </w:p>
              </w:tc>
              <w:tc>
                <w:tcPr>
                  <w:tcW w:w="434" w:type="pct"/>
                  <w:vAlign w:val="center"/>
                </w:tcPr>
                <w:p>
                  <w:pPr>
                    <w:snapToGrid w:val="0"/>
                    <w:jc w:val="center"/>
                    <w:rPr>
                      <w:snapToGrid w:val="0"/>
                      <w:spacing w:val="-8"/>
                      <w:szCs w:val="21"/>
                    </w:rPr>
                  </w:pPr>
                  <w:r>
                    <w:rPr>
                      <w:rFonts w:hint="eastAsia"/>
                      <w:spacing w:val="-11"/>
                      <w:szCs w:val="21"/>
                    </w:rPr>
                    <w:t>1.6</w:t>
                  </w:r>
                  <w:r>
                    <w:rPr>
                      <w:spacing w:val="-1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pPr>
                    <w:snapToGrid w:val="0"/>
                    <w:jc w:val="center"/>
                    <w:rPr>
                      <w:snapToGrid w:val="0"/>
                      <w:spacing w:val="-11"/>
                      <w:szCs w:val="21"/>
                    </w:rPr>
                  </w:pPr>
                </w:p>
              </w:tc>
              <w:tc>
                <w:tcPr>
                  <w:tcW w:w="682" w:type="pct"/>
                  <w:vAlign w:val="center"/>
                </w:tcPr>
                <w:p>
                  <w:pPr>
                    <w:snapToGrid w:val="0"/>
                    <w:jc w:val="center"/>
                    <w:rPr>
                      <w:snapToGrid w:val="0"/>
                      <w:spacing w:val="-11"/>
                      <w:szCs w:val="21"/>
                    </w:rPr>
                  </w:pPr>
                  <w:r>
                    <w:rPr>
                      <w:snapToGrid w:val="0"/>
                      <w:spacing w:val="-11"/>
                      <w:szCs w:val="21"/>
                    </w:rPr>
                    <w:t>BOD</w:t>
                  </w:r>
                  <w:r>
                    <w:rPr>
                      <w:snapToGrid w:val="0"/>
                      <w:spacing w:val="-11"/>
                      <w:szCs w:val="21"/>
                      <w:vertAlign w:val="subscript"/>
                    </w:rPr>
                    <w:t>5</w:t>
                  </w:r>
                </w:p>
              </w:tc>
              <w:tc>
                <w:tcPr>
                  <w:tcW w:w="697" w:type="pct"/>
                  <w:vAlign w:val="center"/>
                </w:tcPr>
                <w:p>
                  <w:pPr>
                    <w:snapToGrid w:val="0"/>
                    <w:jc w:val="center"/>
                    <w:rPr>
                      <w:szCs w:val="21"/>
                    </w:rPr>
                  </w:pPr>
                  <w:r>
                    <w:rPr>
                      <w:szCs w:val="21"/>
                    </w:rPr>
                    <w:t>100</w:t>
                  </w:r>
                </w:p>
              </w:tc>
              <w:tc>
                <w:tcPr>
                  <w:tcW w:w="691" w:type="pct"/>
                  <w:vAlign w:val="center"/>
                </w:tcPr>
                <w:p>
                  <w:pPr>
                    <w:snapToGrid w:val="0"/>
                    <w:jc w:val="center"/>
                    <w:rPr>
                      <w:spacing w:val="-11"/>
                      <w:szCs w:val="21"/>
                    </w:rPr>
                  </w:pPr>
                  <w:r>
                    <w:rPr>
                      <w:rFonts w:hint="eastAsia"/>
                      <w:spacing w:val="-11"/>
                      <w:szCs w:val="21"/>
                    </w:rPr>
                    <w:t>1.6</w:t>
                  </w:r>
                  <w:r>
                    <w:rPr>
                      <w:spacing w:val="-11"/>
                      <w:szCs w:val="21"/>
                    </w:rPr>
                    <w:t>8</w:t>
                  </w:r>
                </w:p>
              </w:tc>
              <w:tc>
                <w:tcPr>
                  <w:tcW w:w="701" w:type="pct"/>
                  <w:vMerge w:val="continue"/>
                  <w:vAlign w:val="center"/>
                </w:tcPr>
                <w:p>
                  <w:pPr>
                    <w:snapToGrid w:val="0"/>
                    <w:jc w:val="center"/>
                    <w:rPr>
                      <w:szCs w:val="21"/>
                    </w:rPr>
                  </w:pPr>
                </w:p>
              </w:tc>
              <w:tc>
                <w:tcPr>
                  <w:tcW w:w="478" w:type="pct"/>
                  <w:vAlign w:val="center"/>
                </w:tcPr>
                <w:p>
                  <w:pPr>
                    <w:snapToGrid w:val="0"/>
                    <w:jc w:val="center"/>
                    <w:rPr>
                      <w:szCs w:val="21"/>
                    </w:rPr>
                  </w:pPr>
                  <w:r>
                    <w:rPr>
                      <w:szCs w:val="21"/>
                    </w:rPr>
                    <w:t>60%</w:t>
                  </w:r>
                </w:p>
              </w:tc>
              <w:tc>
                <w:tcPr>
                  <w:tcW w:w="521" w:type="pct"/>
                  <w:vAlign w:val="center"/>
                </w:tcPr>
                <w:p>
                  <w:pPr>
                    <w:snapToGrid w:val="0"/>
                    <w:jc w:val="center"/>
                    <w:rPr>
                      <w:szCs w:val="21"/>
                    </w:rPr>
                  </w:pPr>
                  <w:r>
                    <w:rPr>
                      <w:szCs w:val="21"/>
                    </w:rPr>
                    <w:t>是</w:t>
                  </w:r>
                </w:p>
              </w:tc>
              <w:tc>
                <w:tcPr>
                  <w:tcW w:w="448" w:type="pct"/>
                  <w:vAlign w:val="center"/>
                </w:tcPr>
                <w:p>
                  <w:pPr>
                    <w:snapToGrid w:val="0"/>
                    <w:jc w:val="center"/>
                    <w:rPr>
                      <w:szCs w:val="21"/>
                    </w:rPr>
                  </w:pPr>
                  <w:r>
                    <w:rPr>
                      <w:rFonts w:hint="eastAsia"/>
                      <w:szCs w:val="21"/>
                    </w:rPr>
                    <w:t>40</w:t>
                  </w:r>
                </w:p>
              </w:tc>
              <w:tc>
                <w:tcPr>
                  <w:tcW w:w="434" w:type="pct"/>
                  <w:vAlign w:val="center"/>
                </w:tcPr>
                <w:p>
                  <w:pPr>
                    <w:snapToGrid w:val="0"/>
                    <w:jc w:val="center"/>
                    <w:rPr>
                      <w:snapToGrid w:val="0"/>
                      <w:spacing w:val="-8"/>
                      <w:szCs w:val="21"/>
                    </w:rPr>
                  </w:pPr>
                  <w:r>
                    <w:rPr>
                      <w:rFonts w:hint="eastAsia"/>
                      <w:snapToGrid w:val="0"/>
                      <w:spacing w:val="-8"/>
                      <w:szCs w:val="21"/>
                    </w:rPr>
                    <w:t>0.6</w:t>
                  </w:r>
                  <w:r>
                    <w:rPr>
                      <w:snapToGrid w:val="0"/>
                      <w:spacing w:val="-8"/>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pPr>
                    <w:snapToGrid w:val="0"/>
                    <w:jc w:val="center"/>
                    <w:rPr>
                      <w:snapToGrid w:val="0"/>
                      <w:spacing w:val="-11"/>
                      <w:szCs w:val="21"/>
                    </w:rPr>
                  </w:pPr>
                </w:p>
              </w:tc>
              <w:tc>
                <w:tcPr>
                  <w:tcW w:w="682" w:type="pct"/>
                  <w:vAlign w:val="center"/>
                </w:tcPr>
                <w:p>
                  <w:pPr>
                    <w:snapToGrid w:val="0"/>
                    <w:jc w:val="center"/>
                    <w:rPr>
                      <w:snapToGrid w:val="0"/>
                      <w:spacing w:val="-11"/>
                      <w:szCs w:val="21"/>
                    </w:rPr>
                  </w:pPr>
                  <w:r>
                    <w:rPr>
                      <w:snapToGrid w:val="0"/>
                      <w:spacing w:val="-11"/>
                      <w:szCs w:val="21"/>
                    </w:rPr>
                    <w:t>SS</w:t>
                  </w:r>
                </w:p>
              </w:tc>
              <w:tc>
                <w:tcPr>
                  <w:tcW w:w="697" w:type="pct"/>
                  <w:vAlign w:val="center"/>
                </w:tcPr>
                <w:p>
                  <w:pPr>
                    <w:snapToGrid w:val="0"/>
                    <w:jc w:val="center"/>
                    <w:rPr>
                      <w:szCs w:val="21"/>
                    </w:rPr>
                  </w:pPr>
                  <w:r>
                    <w:rPr>
                      <w:szCs w:val="21"/>
                    </w:rPr>
                    <w:t>80</w:t>
                  </w:r>
                </w:p>
              </w:tc>
              <w:tc>
                <w:tcPr>
                  <w:tcW w:w="691" w:type="pct"/>
                  <w:vAlign w:val="center"/>
                </w:tcPr>
                <w:p>
                  <w:pPr>
                    <w:snapToGrid w:val="0"/>
                    <w:jc w:val="center"/>
                    <w:rPr>
                      <w:spacing w:val="-11"/>
                      <w:szCs w:val="21"/>
                    </w:rPr>
                  </w:pPr>
                  <w:r>
                    <w:rPr>
                      <w:rFonts w:hint="eastAsia"/>
                      <w:spacing w:val="-11"/>
                      <w:szCs w:val="21"/>
                    </w:rPr>
                    <w:t>1.3</w:t>
                  </w:r>
                  <w:r>
                    <w:rPr>
                      <w:spacing w:val="-11"/>
                      <w:szCs w:val="21"/>
                    </w:rPr>
                    <w:t>4</w:t>
                  </w:r>
                </w:p>
              </w:tc>
              <w:tc>
                <w:tcPr>
                  <w:tcW w:w="701" w:type="pct"/>
                  <w:vMerge w:val="continue"/>
                  <w:vAlign w:val="center"/>
                </w:tcPr>
                <w:p>
                  <w:pPr>
                    <w:snapToGrid w:val="0"/>
                    <w:jc w:val="center"/>
                    <w:rPr>
                      <w:szCs w:val="21"/>
                    </w:rPr>
                  </w:pPr>
                </w:p>
              </w:tc>
              <w:tc>
                <w:tcPr>
                  <w:tcW w:w="478" w:type="pct"/>
                  <w:vAlign w:val="center"/>
                </w:tcPr>
                <w:p>
                  <w:pPr>
                    <w:snapToGrid w:val="0"/>
                    <w:jc w:val="center"/>
                    <w:rPr>
                      <w:szCs w:val="21"/>
                    </w:rPr>
                  </w:pPr>
                  <w:r>
                    <w:rPr>
                      <w:rFonts w:hint="eastAsia"/>
                      <w:szCs w:val="21"/>
                    </w:rPr>
                    <w:t>80</w:t>
                  </w:r>
                  <w:r>
                    <w:rPr>
                      <w:szCs w:val="21"/>
                    </w:rPr>
                    <w:t>%</w:t>
                  </w:r>
                </w:p>
              </w:tc>
              <w:tc>
                <w:tcPr>
                  <w:tcW w:w="521" w:type="pct"/>
                  <w:vAlign w:val="center"/>
                </w:tcPr>
                <w:p>
                  <w:pPr>
                    <w:snapToGrid w:val="0"/>
                    <w:jc w:val="center"/>
                    <w:rPr>
                      <w:szCs w:val="21"/>
                    </w:rPr>
                  </w:pPr>
                  <w:r>
                    <w:rPr>
                      <w:szCs w:val="21"/>
                    </w:rPr>
                    <w:t>是</w:t>
                  </w:r>
                </w:p>
              </w:tc>
              <w:tc>
                <w:tcPr>
                  <w:tcW w:w="448" w:type="pct"/>
                  <w:vAlign w:val="center"/>
                </w:tcPr>
                <w:p>
                  <w:pPr>
                    <w:snapToGrid w:val="0"/>
                    <w:jc w:val="center"/>
                    <w:rPr>
                      <w:szCs w:val="21"/>
                    </w:rPr>
                  </w:pPr>
                  <w:r>
                    <w:rPr>
                      <w:rFonts w:hint="eastAsia"/>
                      <w:szCs w:val="21"/>
                    </w:rPr>
                    <w:t>16</w:t>
                  </w:r>
                </w:p>
              </w:tc>
              <w:tc>
                <w:tcPr>
                  <w:tcW w:w="434" w:type="pct"/>
                  <w:vAlign w:val="center"/>
                </w:tcPr>
                <w:p>
                  <w:pPr>
                    <w:snapToGrid w:val="0"/>
                    <w:jc w:val="center"/>
                    <w:rPr>
                      <w:snapToGrid w:val="0"/>
                      <w:spacing w:val="-8"/>
                      <w:szCs w:val="21"/>
                    </w:rPr>
                  </w:pPr>
                  <w:r>
                    <w:rPr>
                      <w:rFonts w:hint="eastAsia"/>
                      <w:snapToGrid w:val="0"/>
                      <w:spacing w:val="-8"/>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pPr>
                    <w:snapToGrid w:val="0"/>
                    <w:jc w:val="center"/>
                    <w:rPr>
                      <w:snapToGrid w:val="0"/>
                      <w:spacing w:val="-11"/>
                      <w:szCs w:val="21"/>
                    </w:rPr>
                  </w:pPr>
                </w:p>
              </w:tc>
              <w:tc>
                <w:tcPr>
                  <w:tcW w:w="682" w:type="pct"/>
                  <w:vAlign w:val="center"/>
                </w:tcPr>
                <w:p>
                  <w:pPr>
                    <w:snapToGrid w:val="0"/>
                    <w:jc w:val="center"/>
                    <w:rPr>
                      <w:snapToGrid w:val="0"/>
                      <w:spacing w:val="-11"/>
                      <w:szCs w:val="21"/>
                    </w:rPr>
                  </w:pPr>
                  <w:r>
                    <w:rPr>
                      <w:snapToGrid w:val="0"/>
                      <w:spacing w:val="-11"/>
                      <w:szCs w:val="21"/>
                    </w:rPr>
                    <w:t>氨氮</w:t>
                  </w:r>
                </w:p>
              </w:tc>
              <w:tc>
                <w:tcPr>
                  <w:tcW w:w="697" w:type="pct"/>
                  <w:vAlign w:val="center"/>
                </w:tcPr>
                <w:p>
                  <w:pPr>
                    <w:snapToGrid w:val="0"/>
                    <w:jc w:val="center"/>
                    <w:rPr>
                      <w:szCs w:val="21"/>
                    </w:rPr>
                  </w:pPr>
                  <w:r>
                    <w:rPr>
                      <w:szCs w:val="21"/>
                    </w:rPr>
                    <w:t>30</w:t>
                  </w:r>
                </w:p>
              </w:tc>
              <w:tc>
                <w:tcPr>
                  <w:tcW w:w="691" w:type="pct"/>
                  <w:vAlign w:val="center"/>
                </w:tcPr>
                <w:p>
                  <w:pPr>
                    <w:snapToGrid w:val="0"/>
                    <w:jc w:val="center"/>
                    <w:rPr>
                      <w:spacing w:val="-11"/>
                      <w:szCs w:val="21"/>
                    </w:rPr>
                  </w:pPr>
                  <w:r>
                    <w:rPr>
                      <w:rFonts w:hint="eastAsia"/>
                      <w:spacing w:val="-11"/>
                      <w:szCs w:val="21"/>
                    </w:rPr>
                    <w:t>0.50</w:t>
                  </w:r>
                </w:p>
              </w:tc>
              <w:tc>
                <w:tcPr>
                  <w:tcW w:w="701" w:type="pct"/>
                  <w:vMerge w:val="continue"/>
                  <w:vAlign w:val="center"/>
                </w:tcPr>
                <w:p>
                  <w:pPr>
                    <w:snapToGrid w:val="0"/>
                    <w:jc w:val="center"/>
                    <w:rPr>
                      <w:szCs w:val="21"/>
                    </w:rPr>
                  </w:pPr>
                </w:p>
              </w:tc>
              <w:tc>
                <w:tcPr>
                  <w:tcW w:w="478" w:type="pct"/>
                  <w:vAlign w:val="center"/>
                </w:tcPr>
                <w:p>
                  <w:pPr>
                    <w:snapToGrid w:val="0"/>
                    <w:jc w:val="center"/>
                    <w:rPr>
                      <w:szCs w:val="21"/>
                    </w:rPr>
                  </w:pPr>
                  <w:r>
                    <w:rPr>
                      <w:rFonts w:hint="eastAsia"/>
                      <w:szCs w:val="21"/>
                    </w:rPr>
                    <w:t>10%</w:t>
                  </w:r>
                </w:p>
              </w:tc>
              <w:tc>
                <w:tcPr>
                  <w:tcW w:w="521" w:type="pct"/>
                  <w:vAlign w:val="center"/>
                </w:tcPr>
                <w:p>
                  <w:pPr>
                    <w:snapToGrid w:val="0"/>
                    <w:jc w:val="center"/>
                    <w:rPr>
                      <w:szCs w:val="21"/>
                    </w:rPr>
                  </w:pPr>
                  <w:r>
                    <w:rPr>
                      <w:szCs w:val="21"/>
                    </w:rPr>
                    <w:t>是</w:t>
                  </w:r>
                </w:p>
              </w:tc>
              <w:tc>
                <w:tcPr>
                  <w:tcW w:w="448" w:type="pct"/>
                  <w:vAlign w:val="center"/>
                </w:tcPr>
                <w:p>
                  <w:pPr>
                    <w:snapToGrid w:val="0"/>
                    <w:jc w:val="center"/>
                    <w:rPr>
                      <w:szCs w:val="21"/>
                    </w:rPr>
                  </w:pPr>
                  <w:r>
                    <w:rPr>
                      <w:rFonts w:hint="eastAsia"/>
                      <w:szCs w:val="21"/>
                    </w:rPr>
                    <w:t>27</w:t>
                  </w:r>
                </w:p>
              </w:tc>
              <w:tc>
                <w:tcPr>
                  <w:tcW w:w="434" w:type="pct"/>
                  <w:vAlign w:val="center"/>
                </w:tcPr>
                <w:p>
                  <w:pPr>
                    <w:snapToGrid w:val="0"/>
                    <w:jc w:val="center"/>
                    <w:rPr>
                      <w:spacing w:val="-11"/>
                      <w:szCs w:val="21"/>
                    </w:rPr>
                  </w:pPr>
                  <w:r>
                    <w:rPr>
                      <w:rFonts w:hint="eastAsia"/>
                      <w:spacing w:val="-1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vAlign w:val="center"/>
                </w:tcPr>
                <w:p>
                  <w:pPr>
                    <w:snapToGrid w:val="0"/>
                    <w:jc w:val="center"/>
                    <w:rPr>
                      <w:snapToGrid w:val="0"/>
                      <w:spacing w:val="-11"/>
                      <w:szCs w:val="21"/>
                    </w:rPr>
                  </w:pPr>
                </w:p>
              </w:tc>
              <w:tc>
                <w:tcPr>
                  <w:tcW w:w="682" w:type="pct"/>
                  <w:vAlign w:val="center"/>
                </w:tcPr>
                <w:p>
                  <w:pPr>
                    <w:snapToGrid w:val="0"/>
                    <w:jc w:val="center"/>
                    <w:rPr>
                      <w:snapToGrid w:val="0"/>
                      <w:spacing w:val="-11"/>
                      <w:szCs w:val="21"/>
                    </w:rPr>
                  </w:pPr>
                  <w:r>
                    <w:rPr>
                      <w:snapToGrid w:val="0"/>
                      <w:spacing w:val="-11"/>
                      <w:szCs w:val="21"/>
                    </w:rPr>
                    <w:t>粪大肠菌群</w:t>
                  </w:r>
                </w:p>
              </w:tc>
              <w:tc>
                <w:tcPr>
                  <w:tcW w:w="697" w:type="pct"/>
                  <w:vAlign w:val="center"/>
                </w:tcPr>
                <w:p>
                  <w:pPr>
                    <w:snapToGrid w:val="0"/>
                    <w:jc w:val="center"/>
                    <w:rPr>
                      <w:szCs w:val="21"/>
                    </w:rPr>
                  </w:pPr>
                  <w:r>
                    <w:t>1.6</w:t>
                  </w:r>
                  <w:r>
                    <w:rPr>
                      <w:rFonts w:eastAsia="TimesNewRomanPSMT"/>
                    </w:rPr>
                    <w:t>×10</w:t>
                  </w:r>
                  <w:r>
                    <w:rPr>
                      <w:rFonts w:eastAsia="TimesNewRomanPSMT"/>
                      <w:vertAlign w:val="superscript"/>
                    </w:rPr>
                    <w:t>8</w:t>
                  </w:r>
                  <w:r>
                    <w:rPr>
                      <w:rFonts w:eastAsia="TimesNewRomanPSMT"/>
                    </w:rPr>
                    <w:t>MPN/L</w:t>
                  </w:r>
                </w:p>
              </w:tc>
              <w:tc>
                <w:tcPr>
                  <w:tcW w:w="691" w:type="pct"/>
                  <w:vAlign w:val="center"/>
                </w:tcPr>
                <w:p>
                  <w:pPr>
                    <w:snapToGrid w:val="0"/>
                    <w:jc w:val="center"/>
                    <w:rPr>
                      <w:spacing w:val="-11"/>
                      <w:szCs w:val="21"/>
                    </w:rPr>
                  </w:pPr>
                  <w:r>
                    <w:rPr>
                      <w:rFonts w:hint="eastAsia"/>
                      <w:spacing w:val="-11"/>
                      <w:szCs w:val="21"/>
                    </w:rPr>
                    <w:t>/</w:t>
                  </w:r>
                </w:p>
              </w:tc>
              <w:tc>
                <w:tcPr>
                  <w:tcW w:w="701" w:type="pct"/>
                  <w:vMerge w:val="continue"/>
                  <w:vAlign w:val="center"/>
                </w:tcPr>
                <w:p>
                  <w:pPr>
                    <w:snapToGrid w:val="0"/>
                    <w:jc w:val="center"/>
                    <w:rPr>
                      <w:szCs w:val="21"/>
                    </w:rPr>
                  </w:pPr>
                </w:p>
              </w:tc>
              <w:tc>
                <w:tcPr>
                  <w:tcW w:w="478" w:type="pct"/>
                  <w:vAlign w:val="center"/>
                </w:tcPr>
                <w:p>
                  <w:pPr>
                    <w:snapToGrid w:val="0"/>
                    <w:jc w:val="center"/>
                    <w:rPr>
                      <w:szCs w:val="21"/>
                    </w:rPr>
                  </w:pPr>
                  <w:r>
                    <w:rPr>
                      <w:rFonts w:hint="eastAsia"/>
                      <w:spacing w:val="-11"/>
                      <w:szCs w:val="21"/>
                    </w:rPr>
                    <w:t>99.99</w:t>
                  </w:r>
                  <w:r>
                    <w:rPr>
                      <w:szCs w:val="21"/>
                    </w:rPr>
                    <w:t>%</w:t>
                  </w:r>
                </w:p>
              </w:tc>
              <w:tc>
                <w:tcPr>
                  <w:tcW w:w="521" w:type="pct"/>
                  <w:vAlign w:val="center"/>
                </w:tcPr>
                <w:p>
                  <w:pPr>
                    <w:snapToGrid w:val="0"/>
                    <w:jc w:val="center"/>
                    <w:rPr>
                      <w:szCs w:val="21"/>
                    </w:rPr>
                  </w:pPr>
                  <w:r>
                    <w:rPr>
                      <w:szCs w:val="21"/>
                    </w:rPr>
                    <w:t>是</w:t>
                  </w:r>
                </w:p>
              </w:tc>
              <w:tc>
                <w:tcPr>
                  <w:tcW w:w="448" w:type="pct"/>
                  <w:vAlign w:val="center"/>
                </w:tcPr>
                <w:p>
                  <w:pPr>
                    <w:snapToGrid w:val="0"/>
                    <w:jc w:val="center"/>
                    <w:rPr>
                      <w:szCs w:val="21"/>
                    </w:rPr>
                  </w:pPr>
                  <w:r>
                    <w:rPr>
                      <w:rFonts w:hint="eastAsia"/>
                      <w:szCs w:val="21"/>
                    </w:rPr>
                    <w:t>5000</w:t>
                  </w:r>
                </w:p>
              </w:tc>
              <w:tc>
                <w:tcPr>
                  <w:tcW w:w="434" w:type="pct"/>
                  <w:vAlign w:val="center"/>
                </w:tcPr>
                <w:p>
                  <w:pPr>
                    <w:snapToGrid w:val="0"/>
                    <w:jc w:val="center"/>
                    <w:rPr>
                      <w:snapToGrid w:val="0"/>
                      <w:spacing w:val="-8"/>
                      <w:szCs w:val="21"/>
                    </w:rPr>
                  </w:pPr>
                  <w:r>
                    <w:rPr>
                      <w:rFonts w:hint="eastAsia"/>
                      <w:snapToGrid w:val="0"/>
                      <w:spacing w:val="-8"/>
                      <w:szCs w:val="21"/>
                    </w:rPr>
                    <w:t>/</w:t>
                  </w:r>
                </w:p>
              </w:tc>
            </w:tr>
          </w:tbl>
          <w:p>
            <w:pPr>
              <w:widowControl/>
              <w:spacing w:line="360" w:lineRule="auto"/>
              <w:ind w:firstLine="480" w:firstLineChars="200"/>
              <w:contextualSpacing/>
              <w:rPr>
                <w:snapToGrid w:val="0"/>
                <w:kern w:val="0"/>
                <w:sz w:val="24"/>
              </w:rPr>
            </w:pPr>
            <w:r>
              <w:rPr>
                <w:snapToGrid w:val="0"/>
                <w:kern w:val="0"/>
                <w:sz w:val="24"/>
              </w:rPr>
              <w:t>（2）</w:t>
            </w:r>
            <w:r>
              <w:rPr>
                <w:sz w:val="24"/>
              </w:rPr>
              <w:t>达标排放及影响分析</w:t>
            </w:r>
          </w:p>
          <w:p>
            <w:pPr>
              <w:spacing w:line="360" w:lineRule="auto"/>
              <w:ind w:firstLine="480" w:firstLineChars="200"/>
              <w:rPr>
                <w:sz w:val="24"/>
              </w:rPr>
            </w:pPr>
            <w:r>
              <w:rPr>
                <w:sz w:val="24"/>
              </w:rPr>
              <w:t>根据《医院污水处理技术指南》（环发﹝2003）197号）及《医院污水处理工程技术规范》（HJ2029-2013）要求，医院污水处理所用工艺必须确保处理出水达标，其中对于非传染病医院的污水主要采用的两种基本工艺有：一级强化处理工艺、二级处理</w:t>
            </w:r>
            <w:r>
              <w:rPr>
                <w:rFonts w:hint="eastAsia"/>
                <w:sz w:val="24"/>
              </w:rPr>
              <w:t>+</w:t>
            </w:r>
            <w:r>
              <w:rPr>
                <w:sz w:val="24"/>
              </w:rPr>
              <w:t>（深化处理）+消毒工艺。对于非传染病医院污水，若处理出水排入城市污水管网时，至少应采用一级强化处理+消毒工艺。</w:t>
            </w:r>
          </w:p>
          <w:p>
            <w:pPr>
              <w:pStyle w:val="43"/>
              <w:spacing w:after="0" w:line="360" w:lineRule="auto"/>
              <w:ind w:left="0" w:leftChars="0" w:firstLine="480"/>
              <w:rPr>
                <w:sz w:val="24"/>
              </w:rPr>
            </w:pPr>
            <w:r>
              <w:rPr>
                <w:sz w:val="24"/>
              </w:rPr>
              <w:t>根据</w:t>
            </w:r>
            <w:r>
              <w:rPr>
                <w:rFonts w:hint="eastAsia"/>
                <w:sz w:val="24"/>
              </w:rPr>
              <w:t>建设单位提供的设计资料</w:t>
            </w:r>
            <w:r>
              <w:rPr>
                <w:sz w:val="24"/>
              </w:rPr>
              <w:t>，</w:t>
            </w:r>
            <w:r>
              <w:rPr>
                <w:rFonts w:hint="eastAsia"/>
                <w:sz w:val="24"/>
              </w:rPr>
              <w:t>项目</w:t>
            </w:r>
            <w:r>
              <w:rPr>
                <w:sz w:val="24"/>
              </w:rPr>
              <w:t>污水处理站选用</w:t>
            </w:r>
            <w:r>
              <w:rPr>
                <w:rFonts w:hint="eastAsia"/>
                <w:sz w:val="24"/>
              </w:rPr>
              <w:t>“一级强化处理</w:t>
            </w:r>
            <w:r>
              <w:rPr>
                <w:sz w:val="24"/>
              </w:rPr>
              <w:t>+</w:t>
            </w:r>
            <w:r>
              <w:rPr>
                <w:rFonts w:hint="eastAsia"/>
                <w:sz w:val="24"/>
              </w:rPr>
              <w:t>次氯酸钠消毒</w:t>
            </w:r>
            <w:r>
              <w:rPr>
                <w:sz w:val="24"/>
              </w:rPr>
              <w:t>”工艺</w:t>
            </w:r>
            <w:r>
              <w:rPr>
                <w:rFonts w:hint="eastAsia"/>
                <w:sz w:val="24"/>
              </w:rPr>
              <w:t>，污水处理后目前拉运至县城污水处理厂处理，待马蹄沟产业园区污水处理厂（正在建设中）投入运行后并网处理。</w:t>
            </w:r>
            <w:r>
              <w:rPr>
                <w:sz w:val="24"/>
              </w:rPr>
              <w:t>项目废水治理设施情况见表</w:t>
            </w:r>
            <w:r>
              <w:rPr>
                <w:rFonts w:hint="eastAsia"/>
                <w:sz w:val="24"/>
              </w:rPr>
              <w:t>4-5</w:t>
            </w:r>
            <w:r>
              <w:rPr>
                <w:sz w:val="24"/>
              </w:rPr>
              <w:t>。</w:t>
            </w:r>
          </w:p>
          <w:p>
            <w:pPr>
              <w:pStyle w:val="58"/>
              <w:spacing w:before="0" w:after="0" w:line="240" w:lineRule="auto"/>
              <w:ind w:right="0"/>
            </w:pPr>
            <w:r>
              <w:rPr>
                <w:snapToGrid w:val="0"/>
                <w:sz w:val="24"/>
                <w:szCs w:val="24"/>
              </w:rPr>
              <w:t>表</w:t>
            </w:r>
            <w:r>
              <w:rPr>
                <w:rFonts w:hint="eastAsia"/>
                <w:snapToGrid w:val="0"/>
                <w:sz w:val="24"/>
                <w:szCs w:val="24"/>
              </w:rPr>
              <w:t>4-5</w:t>
            </w:r>
            <w:r>
              <w:rPr>
                <w:snapToGrid w:val="0"/>
                <w:sz w:val="24"/>
                <w:szCs w:val="24"/>
              </w:rPr>
              <w:t xml:space="preserve">  废水治理设施一览表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2405"/>
              <w:gridCol w:w="2270"/>
              <w:gridCol w:w="1122"/>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废水类别</w:t>
                  </w:r>
                </w:p>
              </w:tc>
              <w:tc>
                <w:tcPr>
                  <w:tcW w:w="1421" w:type="pct"/>
                  <w:vMerge w:val="restar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污染物种类</w:t>
                  </w:r>
                </w:p>
              </w:tc>
              <w:tc>
                <w:tcPr>
                  <w:tcW w:w="2900" w:type="pct"/>
                  <w:gridSpan w:val="3"/>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p>
              </w:tc>
              <w:tc>
                <w:tcPr>
                  <w:tcW w:w="1421" w:type="pct"/>
                  <w:vMerge w:val="continue"/>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p>
              </w:tc>
              <w:tc>
                <w:tcPr>
                  <w:tcW w:w="1341"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治理工艺</w:t>
                  </w:r>
                </w:p>
              </w:tc>
              <w:tc>
                <w:tcPr>
                  <w:tcW w:w="663"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处理能力</w:t>
                  </w:r>
                </w:p>
              </w:tc>
              <w:tc>
                <w:tcPr>
                  <w:tcW w:w="895"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是否可行技术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医疗</w:t>
                  </w:r>
                  <w:r>
                    <w:rPr>
                      <w:rFonts w:hint="eastAsia" w:ascii="Times New Roman" w:hAnsi="Times New Roman"/>
                      <w:sz w:val="21"/>
                      <w:szCs w:val="21"/>
                    </w:rPr>
                    <w:t>污水</w:t>
                  </w:r>
                </w:p>
              </w:tc>
              <w:tc>
                <w:tcPr>
                  <w:tcW w:w="1421"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pH、BOD</w:t>
                  </w:r>
                  <w:r>
                    <w:rPr>
                      <w:rFonts w:ascii="Times New Roman" w:hAnsi="Times New Roman"/>
                      <w:sz w:val="21"/>
                      <w:szCs w:val="21"/>
                      <w:vertAlign w:val="subscript"/>
                    </w:rPr>
                    <w:t>5</w:t>
                  </w:r>
                  <w:r>
                    <w:rPr>
                      <w:rFonts w:ascii="Times New Roman" w:hAnsi="Times New Roman"/>
                      <w:sz w:val="21"/>
                      <w:szCs w:val="21"/>
                    </w:rPr>
                    <w:t>、COD、NH</w:t>
                  </w:r>
                  <w:r>
                    <w:rPr>
                      <w:rFonts w:ascii="Times New Roman" w:hAnsi="Times New Roman"/>
                      <w:sz w:val="21"/>
                      <w:szCs w:val="21"/>
                      <w:vertAlign w:val="subscript"/>
                    </w:rPr>
                    <w:t>3</w:t>
                  </w:r>
                  <w:r>
                    <w:rPr>
                      <w:rFonts w:ascii="Times New Roman" w:hAnsi="Times New Roman"/>
                      <w:sz w:val="21"/>
                      <w:szCs w:val="21"/>
                    </w:rPr>
                    <w:t>-N、SS、粪大肠菌群</w:t>
                  </w:r>
                </w:p>
              </w:tc>
              <w:tc>
                <w:tcPr>
                  <w:tcW w:w="1341"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调节池+混凝沉淀</w:t>
                  </w:r>
                  <w:r>
                    <w:rPr>
                      <w:rFonts w:hint="eastAsia" w:ascii="Times New Roman" w:hAnsi="Times New Roman"/>
                      <w:sz w:val="21"/>
                      <w:szCs w:val="21"/>
                    </w:rPr>
                    <w:t>（一级强化）</w:t>
                  </w:r>
                  <w:r>
                    <w:rPr>
                      <w:rFonts w:ascii="Times New Roman" w:hAnsi="Times New Roman"/>
                      <w:sz w:val="21"/>
                      <w:szCs w:val="21"/>
                    </w:rPr>
                    <w:t>+</w:t>
                  </w:r>
                  <w:r>
                    <w:rPr>
                      <w:rFonts w:hint="eastAsia" w:ascii="Times New Roman" w:hAnsi="Times New Roman"/>
                      <w:sz w:val="21"/>
                      <w:szCs w:val="21"/>
                    </w:rPr>
                    <w:t>次氯酸钠</w:t>
                  </w:r>
                  <w:r>
                    <w:rPr>
                      <w:rFonts w:ascii="Times New Roman" w:hAnsi="Times New Roman"/>
                      <w:sz w:val="21"/>
                      <w:szCs w:val="21"/>
                    </w:rPr>
                    <w:t>消毒</w:t>
                  </w:r>
                </w:p>
              </w:tc>
              <w:tc>
                <w:tcPr>
                  <w:tcW w:w="663"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60m</w:t>
                  </w:r>
                  <w:r>
                    <w:rPr>
                      <w:rFonts w:hint="eastAsia" w:ascii="Times New Roman" w:hAnsi="Times New Roman"/>
                      <w:sz w:val="21"/>
                      <w:szCs w:val="21"/>
                      <w:vertAlign w:val="superscript"/>
                    </w:rPr>
                    <w:t>3</w:t>
                  </w:r>
                  <w:r>
                    <w:rPr>
                      <w:rFonts w:hint="eastAsia" w:ascii="Times New Roman" w:hAnsi="Times New Roman"/>
                      <w:sz w:val="21"/>
                      <w:szCs w:val="21"/>
                    </w:rPr>
                    <w:t>/d</w:t>
                  </w:r>
                </w:p>
              </w:tc>
              <w:tc>
                <w:tcPr>
                  <w:tcW w:w="895" w:type="pct"/>
                  <w:tcMar>
                    <w:left w:w="57" w:type="dxa"/>
                    <w:right w:w="57" w:type="dxa"/>
                  </w:tcMar>
                  <w:vAlign w:val="center"/>
                </w:tcPr>
                <w:p>
                  <w:pPr>
                    <w:pStyle w:val="19"/>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☑是</w:t>
                  </w:r>
                </w:p>
                <w:p>
                  <w:pPr>
                    <w:pStyle w:val="19"/>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□否</w:t>
                  </w:r>
                </w:p>
              </w:tc>
            </w:tr>
            <w:bookmarkEnd w:id="17"/>
          </w:tbl>
          <w:p>
            <w:pPr>
              <w:adjustRightInd w:val="0"/>
              <w:snapToGrid w:val="0"/>
              <w:spacing w:line="360" w:lineRule="auto"/>
              <w:rPr>
                <w:sz w:val="24"/>
              </w:rPr>
            </w:pPr>
            <w:r>
              <w:rPr>
                <w:sz w:val="24"/>
              </w:rPr>
              <w:drawing>
                <wp:inline distT="0" distB="0" distL="0" distR="0">
                  <wp:extent cx="5440680" cy="1097280"/>
                  <wp:effectExtent l="0" t="0" r="7620" b="7620"/>
                  <wp:docPr id="12" name="图片 12" descr="169201646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20164698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40680" cy="1097280"/>
                          </a:xfrm>
                          <a:prstGeom prst="rect">
                            <a:avLst/>
                          </a:prstGeom>
                          <a:noFill/>
                          <a:ln>
                            <a:noFill/>
                          </a:ln>
                        </pic:spPr>
                      </pic:pic>
                    </a:graphicData>
                  </a:graphic>
                </wp:inline>
              </w:drawing>
            </w:r>
          </w:p>
          <w:p>
            <w:pPr>
              <w:adjustRightInd w:val="0"/>
              <w:snapToGrid w:val="0"/>
              <w:spacing w:line="360" w:lineRule="auto"/>
              <w:jc w:val="center"/>
              <w:rPr>
                <w:b/>
                <w:bCs/>
                <w:sz w:val="24"/>
              </w:rPr>
            </w:pPr>
            <w:r>
              <w:rPr>
                <w:rFonts w:hint="eastAsia"/>
                <w:b/>
                <w:bCs/>
                <w:sz w:val="24"/>
              </w:rPr>
              <w:t>图4</w:t>
            </w:r>
            <w:r>
              <w:rPr>
                <w:b/>
                <w:bCs/>
                <w:sz w:val="24"/>
              </w:rPr>
              <w:t xml:space="preserve">-1    </w:t>
            </w:r>
            <w:r>
              <w:rPr>
                <w:rFonts w:hint="eastAsia"/>
                <w:b/>
                <w:bCs/>
                <w:sz w:val="24"/>
              </w:rPr>
              <w:t>污水处理站工艺流程图</w:t>
            </w:r>
          </w:p>
          <w:p>
            <w:pPr>
              <w:spacing w:line="360" w:lineRule="auto"/>
              <w:ind w:firstLine="480" w:firstLineChars="200"/>
              <w:rPr>
                <w:sz w:val="24"/>
              </w:rPr>
            </w:pPr>
            <w:r>
              <w:rPr>
                <w:sz w:val="24"/>
              </w:rPr>
              <w:t>根据《医院污水处理技术规范》（HJ2029-2013）中的要求，医院污水处理工程设计水量应在实测或测算的基础上留有设计裕量，设计裕量宜取实测值或测算值的10%~20%。</w:t>
            </w:r>
            <w:r>
              <w:rPr>
                <w:rFonts w:hint="eastAsia"/>
                <w:sz w:val="24"/>
              </w:rPr>
              <w:t>本项目废水产生量为4</w:t>
            </w:r>
            <w:r>
              <w:rPr>
                <w:sz w:val="24"/>
              </w:rPr>
              <w:t>5</w:t>
            </w:r>
            <w:r>
              <w:rPr>
                <w:rFonts w:hint="eastAsia"/>
                <w:sz w:val="24"/>
              </w:rPr>
              <w:t>.</w:t>
            </w:r>
            <w:r>
              <w:rPr>
                <w:sz w:val="24"/>
              </w:rPr>
              <w:t>95m</w:t>
            </w:r>
            <w:r>
              <w:rPr>
                <w:sz w:val="24"/>
                <w:vertAlign w:val="superscript"/>
              </w:rPr>
              <w:t>3</w:t>
            </w:r>
            <w:r>
              <w:rPr>
                <w:sz w:val="24"/>
              </w:rPr>
              <w:t>/d</w:t>
            </w:r>
            <w:r>
              <w:rPr>
                <w:rFonts w:hint="eastAsia"/>
                <w:sz w:val="24"/>
              </w:rPr>
              <w:t>，</w:t>
            </w:r>
            <w:r>
              <w:rPr>
                <w:sz w:val="24"/>
              </w:rPr>
              <w:t>根据建设单位提供资料可知拟建污水处理站规模为</w:t>
            </w:r>
            <w:r>
              <w:rPr>
                <w:rFonts w:hint="eastAsia"/>
                <w:sz w:val="24"/>
              </w:rPr>
              <w:t>60</w:t>
            </w:r>
            <w:r>
              <w:rPr>
                <w:sz w:val="24"/>
              </w:rPr>
              <w:t>m</w:t>
            </w:r>
            <w:r>
              <w:rPr>
                <w:sz w:val="24"/>
                <w:vertAlign w:val="superscript"/>
              </w:rPr>
              <w:t>3</w:t>
            </w:r>
            <w:r>
              <w:rPr>
                <w:sz w:val="24"/>
              </w:rPr>
              <w:t>/d</w:t>
            </w:r>
            <w:r>
              <w:rPr>
                <w:rFonts w:hint="eastAsia"/>
                <w:sz w:val="24"/>
              </w:rPr>
              <w:t>，可满足设计要求</w:t>
            </w:r>
            <w:r>
              <w:rPr>
                <w:sz w:val="24"/>
              </w:rPr>
              <w:t>。</w:t>
            </w:r>
          </w:p>
          <w:p>
            <w:pPr>
              <w:spacing w:line="360" w:lineRule="auto"/>
              <w:ind w:firstLine="480" w:firstLineChars="200"/>
              <w:rPr>
                <w:sz w:val="24"/>
              </w:rPr>
            </w:pPr>
            <w:r>
              <w:rPr>
                <w:rFonts w:hint="eastAsia"/>
                <w:sz w:val="24"/>
              </w:rPr>
              <w:t>项目消毒工艺采用次氯酸钠消毒，根据</w:t>
            </w:r>
            <w:r>
              <w:rPr>
                <w:sz w:val="24"/>
              </w:rPr>
              <w:t>《医院污水处理技术规范》（HJ2029-2013）</w:t>
            </w:r>
            <w:r>
              <w:rPr>
                <w:rFonts w:hint="eastAsia"/>
                <w:sz w:val="24"/>
              </w:rPr>
              <w:t>中要求，本项目要求加氯量为</w:t>
            </w:r>
            <w:r>
              <w:rPr>
                <w:sz w:val="24"/>
              </w:rPr>
              <w:t>30~50mg/L</w:t>
            </w:r>
            <w:r>
              <w:rPr>
                <w:rFonts w:hint="eastAsia"/>
                <w:sz w:val="24"/>
              </w:rPr>
              <w:t>，接触消毒时间小少于1</w:t>
            </w:r>
            <w:r>
              <w:rPr>
                <w:sz w:val="24"/>
              </w:rPr>
              <w:t>.0h</w:t>
            </w:r>
            <w:r>
              <w:rPr>
                <w:rFonts w:hint="eastAsia"/>
                <w:sz w:val="24"/>
              </w:rPr>
              <w:t>，满足规范要求。由上表4</w:t>
            </w:r>
            <w:r>
              <w:rPr>
                <w:sz w:val="24"/>
              </w:rPr>
              <w:t>-4</w:t>
            </w:r>
            <w:r>
              <w:rPr>
                <w:rFonts w:hint="eastAsia"/>
                <w:sz w:val="24"/>
              </w:rPr>
              <w:t>可知，本项目废水处理后污染物</w:t>
            </w:r>
            <w:r>
              <w:rPr>
                <w:sz w:val="24"/>
              </w:rPr>
              <w:t>可满足《医疗机构水污染物排放标准》（GB18466-2005）表2预处理限值和《污水排入城镇下水道水质标准》（GB/T31962-2015）B</w:t>
            </w:r>
            <w:r>
              <w:rPr>
                <w:rFonts w:hint="eastAsia"/>
                <w:sz w:val="24"/>
              </w:rPr>
              <w:t>级</w:t>
            </w:r>
            <w:r>
              <w:rPr>
                <w:sz w:val="24"/>
              </w:rPr>
              <w:t>标准限值要求。</w:t>
            </w:r>
          </w:p>
          <w:p>
            <w:pPr>
              <w:spacing w:line="360" w:lineRule="auto"/>
              <w:ind w:firstLine="480" w:firstLineChars="200"/>
              <w:rPr>
                <w:sz w:val="24"/>
              </w:rPr>
            </w:pPr>
            <w:r>
              <w:rPr>
                <w:rFonts w:hint="eastAsia"/>
                <w:sz w:val="24"/>
              </w:rPr>
              <w:t>根据《医院污水处理工程技术规范》（</w:t>
            </w:r>
            <w:r>
              <w:rPr>
                <w:sz w:val="24"/>
              </w:rPr>
              <w:t>HJ2029-2013</w:t>
            </w:r>
            <w:r>
              <w:rPr>
                <w:rFonts w:hint="eastAsia"/>
                <w:sz w:val="24"/>
              </w:rPr>
              <w:t>）的要求，本项目应建设应急事故池，以贮存处理系统事故或其它突发事件时医院污水，非传染病医院污水处理工程应急事故池容积不小于日排放量的</w:t>
            </w:r>
            <w:r>
              <w:rPr>
                <w:sz w:val="24"/>
              </w:rPr>
              <w:t>30%</w:t>
            </w:r>
            <w:r>
              <w:rPr>
                <w:rFonts w:hint="eastAsia"/>
                <w:sz w:val="24"/>
              </w:rPr>
              <w:t>。项目日排放污水量最大为4</w:t>
            </w:r>
            <w:r>
              <w:rPr>
                <w:sz w:val="24"/>
              </w:rPr>
              <w:t>5.95m</w:t>
            </w:r>
            <w:r>
              <w:rPr>
                <w:sz w:val="24"/>
                <w:vertAlign w:val="superscript"/>
              </w:rPr>
              <w:t>3</w:t>
            </w:r>
            <w:r>
              <w:rPr>
                <w:sz w:val="24"/>
              </w:rPr>
              <w:t>/d</w:t>
            </w:r>
            <w:r>
              <w:rPr>
                <w:rFonts w:hint="eastAsia"/>
                <w:sz w:val="24"/>
              </w:rPr>
              <w:t>，按</w:t>
            </w:r>
            <w:r>
              <w:rPr>
                <w:sz w:val="24"/>
              </w:rPr>
              <w:t>30%</w:t>
            </w:r>
            <w:r>
              <w:rPr>
                <w:rFonts w:hint="eastAsia"/>
                <w:sz w:val="24"/>
              </w:rPr>
              <w:t>计算，确定事故池容积设定不小于1</w:t>
            </w:r>
            <w:r>
              <w:rPr>
                <w:sz w:val="24"/>
              </w:rPr>
              <w:t>3.79m</w:t>
            </w:r>
            <w:r>
              <w:rPr>
                <w:sz w:val="24"/>
                <w:vertAlign w:val="superscript"/>
              </w:rPr>
              <w:t>3</w:t>
            </w:r>
            <w:r>
              <w:rPr>
                <w:rFonts w:hint="eastAsia"/>
                <w:sz w:val="24"/>
              </w:rPr>
              <w:t>，项目拟设一个1</w:t>
            </w:r>
            <w:r>
              <w:rPr>
                <w:sz w:val="24"/>
              </w:rPr>
              <w:t>5m</w:t>
            </w:r>
            <w:r>
              <w:rPr>
                <w:sz w:val="24"/>
                <w:vertAlign w:val="superscript"/>
              </w:rPr>
              <w:t xml:space="preserve">3 </w:t>
            </w:r>
            <w:r>
              <w:rPr>
                <w:rFonts w:hint="eastAsia"/>
                <w:sz w:val="24"/>
              </w:rPr>
              <w:t>事故池，并设导排系统，可满足《医院污水处理工程技术规范》（</w:t>
            </w:r>
            <w:r>
              <w:rPr>
                <w:sz w:val="24"/>
              </w:rPr>
              <w:t>HJ2029-2013</w:t>
            </w:r>
            <w:r>
              <w:rPr>
                <w:rFonts w:hint="eastAsia"/>
                <w:sz w:val="24"/>
              </w:rPr>
              <w:t>）的要求。</w:t>
            </w:r>
          </w:p>
          <w:p>
            <w:pPr>
              <w:widowControl/>
              <w:spacing w:line="360" w:lineRule="auto"/>
              <w:ind w:firstLine="480" w:firstLineChars="200"/>
              <w:contextualSpacing/>
              <w:rPr>
                <w:sz w:val="24"/>
              </w:rPr>
            </w:pPr>
            <w:r>
              <w:rPr>
                <w:sz w:val="24"/>
              </w:rPr>
              <w:t>（3）依托污水处理厂的可行性分析</w:t>
            </w:r>
          </w:p>
          <w:p>
            <w:pPr>
              <w:widowControl/>
              <w:spacing w:line="360" w:lineRule="auto"/>
              <w:ind w:firstLine="480" w:firstLineChars="200"/>
              <w:contextualSpacing/>
              <w:rPr>
                <w:sz w:val="24"/>
              </w:rPr>
            </w:pPr>
            <w:r>
              <w:rPr>
                <w:rFonts w:hint="eastAsia"/>
                <w:sz w:val="24"/>
              </w:rPr>
              <w:t>子洲县污水处理厂位于子洲县苗家坪镇高家砭村，于2013年正式运营，处理能力为3</w:t>
            </w:r>
            <w:r>
              <w:rPr>
                <w:sz w:val="24"/>
              </w:rPr>
              <w:t>000 m</w:t>
            </w:r>
            <w:r>
              <w:rPr>
                <w:sz w:val="24"/>
                <w:vertAlign w:val="superscript"/>
              </w:rPr>
              <w:t>3</w:t>
            </w:r>
            <w:r>
              <w:rPr>
                <w:sz w:val="24"/>
              </w:rPr>
              <w:t>/d，</w:t>
            </w:r>
            <w:r>
              <w:rPr>
                <w:rFonts w:hint="eastAsia"/>
                <w:sz w:val="24"/>
              </w:rPr>
              <w:t>2</w:t>
            </w:r>
            <w:r>
              <w:rPr>
                <w:sz w:val="24"/>
              </w:rPr>
              <w:t>01</w:t>
            </w:r>
            <w:r>
              <w:rPr>
                <w:rFonts w:hint="eastAsia"/>
                <w:sz w:val="24"/>
              </w:rPr>
              <w:t>9年进行改扩建，处理能力提升至8</w:t>
            </w:r>
            <w:r>
              <w:rPr>
                <w:sz w:val="24"/>
              </w:rPr>
              <w:t>000 m</w:t>
            </w:r>
            <w:r>
              <w:rPr>
                <w:sz w:val="24"/>
                <w:vertAlign w:val="superscript"/>
              </w:rPr>
              <w:t>3</w:t>
            </w:r>
            <w:r>
              <w:rPr>
                <w:sz w:val="24"/>
              </w:rPr>
              <w:t>/d</w:t>
            </w:r>
            <w:r>
              <w:rPr>
                <w:rFonts w:hint="eastAsia"/>
                <w:sz w:val="24"/>
              </w:rPr>
              <w:t>，污水处理厂厂污水处理工艺为“AA</w:t>
            </w:r>
            <w:r>
              <w:rPr>
                <w:sz w:val="24"/>
              </w:rPr>
              <w:t>/</w:t>
            </w:r>
            <w:r>
              <w:rPr>
                <w:rFonts w:hint="eastAsia"/>
                <w:sz w:val="24"/>
              </w:rPr>
              <w:t>O +生物滤池”，</w:t>
            </w:r>
            <w:r>
              <w:rPr>
                <w:sz w:val="24"/>
              </w:rPr>
              <w:t>出水水质达到《</w:t>
            </w:r>
            <w:r>
              <w:rPr>
                <w:rFonts w:hint="eastAsia"/>
                <w:sz w:val="24"/>
              </w:rPr>
              <w:t>陕西省</w:t>
            </w:r>
            <w:r>
              <w:rPr>
                <w:sz w:val="24"/>
              </w:rPr>
              <w:t>黄河流域污水综合排放标准》(DB61/224-2011)</w:t>
            </w:r>
            <w:r>
              <w:rPr>
                <w:rFonts w:hint="eastAsia"/>
                <w:sz w:val="24"/>
              </w:rPr>
              <w:t>表1中A标准</w:t>
            </w:r>
            <w:r>
              <w:rPr>
                <w:sz w:val="24"/>
              </w:rPr>
              <w:t>。</w:t>
            </w:r>
          </w:p>
          <w:p>
            <w:pPr>
              <w:widowControl/>
              <w:spacing w:line="360" w:lineRule="auto"/>
              <w:ind w:firstLine="480" w:firstLineChars="200"/>
              <w:contextualSpacing/>
              <w:rPr>
                <w:sz w:val="24"/>
              </w:rPr>
            </w:pPr>
            <w:r>
              <w:rPr>
                <w:sz w:val="24"/>
              </w:rPr>
              <w:t>本项目</w:t>
            </w:r>
            <w:r>
              <w:rPr>
                <w:rFonts w:hint="eastAsia"/>
                <w:sz w:val="24"/>
              </w:rPr>
              <w:t>不位于</w:t>
            </w:r>
            <w:r>
              <w:rPr>
                <w:sz w:val="24"/>
              </w:rPr>
              <w:t>其纳污范围内，</w:t>
            </w:r>
            <w:r>
              <w:rPr>
                <w:rFonts w:hint="eastAsia"/>
                <w:sz w:val="24"/>
              </w:rPr>
              <w:t>但建设单位正与子洲县污水处理厂签订拉运协议，收纳本项目污水（协议正在办理中）</w:t>
            </w:r>
            <w:r>
              <w:rPr>
                <w:sz w:val="24"/>
              </w:rPr>
              <w:t>。项目废水排放量为45.85m</w:t>
            </w:r>
            <w:r>
              <w:rPr>
                <w:sz w:val="24"/>
                <w:vertAlign w:val="superscript"/>
              </w:rPr>
              <w:t>3</w:t>
            </w:r>
            <w:r>
              <w:rPr>
                <w:sz w:val="24"/>
              </w:rPr>
              <w:t>/d，仅占</w:t>
            </w:r>
            <w:r>
              <w:rPr>
                <w:rFonts w:hint="eastAsia"/>
                <w:sz w:val="24"/>
              </w:rPr>
              <w:t>子州县污水处理厂</w:t>
            </w:r>
            <w:r>
              <w:rPr>
                <w:sz w:val="24"/>
              </w:rPr>
              <w:t>设计处理规模的0.</w:t>
            </w:r>
            <w:r>
              <w:rPr>
                <w:rFonts w:hint="eastAsia"/>
                <w:sz w:val="24"/>
              </w:rPr>
              <w:t>57</w:t>
            </w:r>
            <w:r>
              <w:rPr>
                <w:sz w:val="24"/>
              </w:rPr>
              <w:t>%，远小于</w:t>
            </w:r>
            <w:r>
              <w:rPr>
                <w:rFonts w:hint="eastAsia"/>
                <w:sz w:val="24"/>
              </w:rPr>
              <w:t>子洲县污水处理厂</w:t>
            </w:r>
            <w:r>
              <w:rPr>
                <w:sz w:val="24"/>
              </w:rPr>
              <w:t>设计处理规模，因此</w:t>
            </w:r>
            <w:r>
              <w:rPr>
                <w:rFonts w:hint="eastAsia"/>
                <w:sz w:val="24"/>
              </w:rPr>
              <w:t>子州县污水处理厂</w:t>
            </w:r>
            <w:r>
              <w:rPr>
                <w:sz w:val="24"/>
              </w:rPr>
              <w:t>能够接纳本项目废水。另外，本项目</w:t>
            </w:r>
            <w:r>
              <w:rPr>
                <w:rFonts w:hint="eastAsia"/>
                <w:sz w:val="24"/>
              </w:rPr>
              <w:t>废水</w:t>
            </w:r>
            <w:r>
              <w:rPr>
                <w:sz w:val="24"/>
              </w:rPr>
              <w:t>经化粪池收集</w:t>
            </w:r>
            <w:r>
              <w:rPr>
                <w:rFonts w:hint="eastAsia"/>
                <w:sz w:val="24"/>
              </w:rPr>
              <w:t>后排入污水处理站进行处理</w:t>
            </w:r>
            <w:r>
              <w:rPr>
                <w:sz w:val="24"/>
              </w:rPr>
              <w:t>，水质可以满足</w:t>
            </w:r>
            <w:r>
              <w:rPr>
                <w:rFonts w:hint="eastAsia"/>
                <w:sz w:val="24"/>
              </w:rPr>
              <w:t>《医疗机构水污染物排放标准》（</w:t>
            </w:r>
            <w:r>
              <w:rPr>
                <w:sz w:val="24"/>
              </w:rPr>
              <w:t>GB 18466-2005</w:t>
            </w:r>
            <w:r>
              <w:rPr>
                <w:rFonts w:hint="eastAsia"/>
                <w:sz w:val="24"/>
              </w:rPr>
              <w:t>）</w:t>
            </w:r>
            <w:r>
              <w:rPr>
                <w:sz w:val="24"/>
              </w:rPr>
              <w:t>及《污水排入城镇下水道水质标准》（GB/T31962-2015）中的相关标准限值要求，不会增加污水处理厂污水处理负荷</w:t>
            </w:r>
            <w:r>
              <w:rPr>
                <w:rFonts w:hint="eastAsia"/>
                <w:sz w:val="24"/>
              </w:rPr>
              <w:t>，</w:t>
            </w:r>
            <w:r>
              <w:rPr>
                <w:sz w:val="24"/>
              </w:rPr>
              <w:t>对</w:t>
            </w:r>
            <w:r>
              <w:rPr>
                <w:rFonts w:hint="eastAsia"/>
                <w:sz w:val="24"/>
              </w:rPr>
              <w:t>子洲县污水处理厂</w:t>
            </w:r>
            <w:r>
              <w:rPr>
                <w:sz w:val="24"/>
              </w:rPr>
              <w:t>正常运行影响较小。</w:t>
            </w:r>
          </w:p>
          <w:p>
            <w:pPr>
              <w:widowControl/>
              <w:spacing w:line="360" w:lineRule="auto"/>
              <w:ind w:firstLine="480" w:firstLineChars="200"/>
              <w:contextualSpacing/>
              <w:rPr>
                <w:sz w:val="24"/>
              </w:rPr>
            </w:pPr>
            <w:r>
              <w:rPr>
                <w:sz w:val="24"/>
              </w:rPr>
              <w:t>因此，本项目</w:t>
            </w:r>
            <w:r>
              <w:rPr>
                <w:rFonts w:hint="eastAsia"/>
                <w:sz w:val="24"/>
              </w:rPr>
              <w:t>废水</w:t>
            </w:r>
            <w:r>
              <w:rPr>
                <w:sz w:val="24"/>
              </w:rPr>
              <w:t>依托</w:t>
            </w:r>
            <w:r>
              <w:rPr>
                <w:rFonts w:hint="eastAsia"/>
                <w:sz w:val="24"/>
              </w:rPr>
              <w:t>子洲县污水处理厂</w:t>
            </w:r>
            <w:r>
              <w:rPr>
                <w:sz w:val="24"/>
              </w:rPr>
              <w:t>处理，依托可行。</w:t>
            </w:r>
          </w:p>
          <w:p>
            <w:pPr>
              <w:widowControl/>
              <w:spacing w:line="360" w:lineRule="auto"/>
              <w:ind w:firstLine="480" w:firstLineChars="200"/>
              <w:contextualSpacing/>
              <w:rPr>
                <w:sz w:val="24"/>
              </w:rPr>
            </w:pPr>
            <w:r>
              <w:rPr>
                <w:sz w:val="24"/>
              </w:rPr>
              <w:t>（</w:t>
            </w:r>
            <w:r>
              <w:rPr>
                <w:rFonts w:hint="eastAsia"/>
                <w:sz w:val="24"/>
              </w:rPr>
              <w:t>4</w:t>
            </w:r>
            <w:r>
              <w:rPr>
                <w:sz w:val="24"/>
              </w:rPr>
              <w:t>）监测要求</w:t>
            </w:r>
          </w:p>
          <w:p>
            <w:pPr>
              <w:spacing w:line="360" w:lineRule="auto"/>
              <w:ind w:firstLine="480" w:firstLineChars="200"/>
              <w:rPr>
                <w:sz w:val="24"/>
                <w:szCs w:val="20"/>
              </w:rPr>
            </w:pPr>
            <w:r>
              <w:rPr>
                <w:sz w:val="24"/>
              </w:rPr>
              <w:t>参照</w:t>
            </w:r>
            <w:r>
              <w:rPr>
                <w:spacing w:val="6"/>
                <w:sz w:val="24"/>
              </w:rPr>
              <w:t>《排污许可证申请与核发技术规范-医疗机构》（HJ1105-2020）</w:t>
            </w:r>
            <w:r>
              <w:rPr>
                <w:sz w:val="24"/>
                <w:szCs w:val="20"/>
                <w:lang w:bidi="ar"/>
              </w:rPr>
              <w:t>，监测计划具体见表</w:t>
            </w:r>
            <w:r>
              <w:rPr>
                <w:rFonts w:hint="eastAsia"/>
                <w:sz w:val="24"/>
                <w:szCs w:val="20"/>
                <w:lang w:bidi="ar"/>
              </w:rPr>
              <w:t>4-6</w:t>
            </w:r>
            <w:r>
              <w:rPr>
                <w:sz w:val="24"/>
                <w:szCs w:val="20"/>
                <w:lang w:bidi="ar"/>
              </w:rPr>
              <w:t>。</w:t>
            </w:r>
          </w:p>
          <w:p>
            <w:pPr>
              <w:jc w:val="center"/>
              <w:rPr>
                <w:b/>
                <w:sz w:val="24"/>
                <w:szCs w:val="20"/>
              </w:rPr>
            </w:pPr>
            <w:r>
              <w:rPr>
                <w:b/>
                <w:sz w:val="24"/>
                <w:szCs w:val="20"/>
                <w:lang w:bidi="ar"/>
              </w:rPr>
              <w:t>表</w:t>
            </w:r>
            <w:r>
              <w:rPr>
                <w:rFonts w:hint="eastAsia"/>
                <w:b/>
                <w:sz w:val="24"/>
                <w:szCs w:val="20"/>
                <w:lang w:bidi="ar"/>
              </w:rPr>
              <w:t>4-6</w:t>
            </w:r>
            <w:r>
              <w:rPr>
                <w:b/>
                <w:sz w:val="24"/>
                <w:szCs w:val="20"/>
                <w:lang w:bidi="ar"/>
              </w:rPr>
              <w:t xml:space="preserve">   废水监测内容及计划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735"/>
              <w:gridCol w:w="1134"/>
              <w:gridCol w:w="1276"/>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tcMar>
                    <w:left w:w="28" w:type="dxa"/>
                    <w:right w:w="28" w:type="dxa"/>
                  </w:tcMar>
                  <w:vAlign w:val="center"/>
                </w:tcPr>
                <w:p>
                  <w:pPr>
                    <w:snapToGrid w:val="0"/>
                    <w:jc w:val="center"/>
                    <w:rPr>
                      <w:b/>
                      <w:kern w:val="0"/>
                      <w:szCs w:val="21"/>
                    </w:rPr>
                  </w:pPr>
                  <w:r>
                    <w:rPr>
                      <w:b/>
                      <w:kern w:val="0"/>
                      <w:szCs w:val="21"/>
                      <w:lang w:bidi="ar"/>
                    </w:rPr>
                    <w:t>污染源名称</w:t>
                  </w:r>
                </w:p>
              </w:tc>
              <w:tc>
                <w:tcPr>
                  <w:tcW w:w="1616" w:type="pct"/>
                  <w:tcMar>
                    <w:left w:w="28" w:type="dxa"/>
                    <w:right w:w="28" w:type="dxa"/>
                  </w:tcMar>
                  <w:vAlign w:val="center"/>
                </w:tcPr>
                <w:p>
                  <w:pPr>
                    <w:snapToGrid w:val="0"/>
                    <w:jc w:val="center"/>
                    <w:rPr>
                      <w:b/>
                      <w:kern w:val="0"/>
                      <w:szCs w:val="21"/>
                    </w:rPr>
                  </w:pPr>
                  <w:r>
                    <w:rPr>
                      <w:b/>
                      <w:kern w:val="0"/>
                      <w:szCs w:val="21"/>
                    </w:rPr>
                    <w:t>监测因子</w:t>
                  </w:r>
                </w:p>
              </w:tc>
              <w:tc>
                <w:tcPr>
                  <w:tcW w:w="670" w:type="pct"/>
                  <w:tcMar>
                    <w:left w:w="28" w:type="dxa"/>
                    <w:right w:w="28" w:type="dxa"/>
                  </w:tcMar>
                  <w:vAlign w:val="center"/>
                </w:tcPr>
                <w:p>
                  <w:pPr>
                    <w:snapToGrid w:val="0"/>
                    <w:jc w:val="center"/>
                    <w:rPr>
                      <w:b/>
                      <w:kern w:val="0"/>
                      <w:szCs w:val="21"/>
                    </w:rPr>
                  </w:pPr>
                  <w:r>
                    <w:rPr>
                      <w:b/>
                      <w:kern w:val="0"/>
                      <w:szCs w:val="21"/>
                      <w:lang w:bidi="ar"/>
                    </w:rPr>
                    <w:t>监测点位</w:t>
                  </w:r>
                </w:p>
              </w:tc>
              <w:tc>
                <w:tcPr>
                  <w:tcW w:w="754" w:type="pct"/>
                  <w:tcMar>
                    <w:left w:w="28" w:type="dxa"/>
                    <w:right w:w="28" w:type="dxa"/>
                  </w:tcMar>
                  <w:vAlign w:val="center"/>
                </w:tcPr>
                <w:p>
                  <w:pPr>
                    <w:snapToGrid w:val="0"/>
                    <w:jc w:val="center"/>
                    <w:rPr>
                      <w:b/>
                      <w:kern w:val="0"/>
                      <w:szCs w:val="21"/>
                    </w:rPr>
                  </w:pPr>
                  <w:r>
                    <w:rPr>
                      <w:b/>
                      <w:kern w:val="0"/>
                      <w:szCs w:val="21"/>
                      <w:lang w:bidi="ar"/>
                    </w:rPr>
                    <w:t>监测频次</w:t>
                  </w:r>
                </w:p>
              </w:tc>
              <w:tc>
                <w:tcPr>
                  <w:tcW w:w="1096" w:type="pct"/>
                  <w:tcMar>
                    <w:left w:w="28" w:type="dxa"/>
                    <w:right w:w="28" w:type="dxa"/>
                  </w:tcMar>
                  <w:vAlign w:val="center"/>
                </w:tcPr>
                <w:p>
                  <w:pPr>
                    <w:snapToGrid w:val="0"/>
                    <w:jc w:val="center"/>
                    <w:rPr>
                      <w:b/>
                      <w:kern w:val="0"/>
                      <w:szCs w:val="21"/>
                    </w:rPr>
                  </w:pPr>
                  <w:r>
                    <w:rPr>
                      <w:b/>
                      <w:kern w:val="0"/>
                      <w:szCs w:val="21"/>
                      <w:lang w:bidi="ar"/>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Merge w:val="restart"/>
                  <w:tcMar>
                    <w:left w:w="28" w:type="dxa"/>
                    <w:right w:w="28" w:type="dxa"/>
                  </w:tcMar>
                  <w:vAlign w:val="center"/>
                </w:tcPr>
                <w:p>
                  <w:pPr>
                    <w:snapToGrid w:val="0"/>
                    <w:jc w:val="center"/>
                    <w:rPr>
                      <w:szCs w:val="21"/>
                    </w:rPr>
                  </w:pPr>
                  <w:r>
                    <w:rPr>
                      <w:lang w:bidi="ar"/>
                    </w:rPr>
                    <w:t>医疗</w:t>
                  </w:r>
                  <w:r>
                    <w:rPr>
                      <w:rFonts w:hint="eastAsia"/>
                      <w:lang w:bidi="ar"/>
                    </w:rPr>
                    <w:t>污水</w:t>
                  </w:r>
                </w:p>
              </w:tc>
              <w:tc>
                <w:tcPr>
                  <w:tcW w:w="1616" w:type="pct"/>
                  <w:tcMar>
                    <w:left w:w="28" w:type="dxa"/>
                    <w:right w:w="28" w:type="dxa"/>
                  </w:tcMar>
                  <w:vAlign w:val="center"/>
                </w:tcPr>
                <w:p>
                  <w:pPr>
                    <w:snapToGrid w:val="0"/>
                    <w:jc w:val="center"/>
                    <w:rPr>
                      <w:bCs/>
                      <w:kern w:val="0"/>
                      <w:szCs w:val="21"/>
                    </w:rPr>
                  </w:pPr>
                  <w:r>
                    <w:rPr>
                      <w:bCs/>
                      <w:kern w:val="0"/>
                      <w:szCs w:val="21"/>
                    </w:rPr>
                    <w:t>流量</w:t>
                  </w:r>
                </w:p>
              </w:tc>
              <w:tc>
                <w:tcPr>
                  <w:tcW w:w="670" w:type="pct"/>
                  <w:vMerge w:val="restart"/>
                  <w:tcMar>
                    <w:left w:w="28" w:type="dxa"/>
                    <w:right w:w="28" w:type="dxa"/>
                  </w:tcMar>
                  <w:vAlign w:val="center"/>
                </w:tcPr>
                <w:p>
                  <w:pPr>
                    <w:snapToGrid w:val="0"/>
                    <w:jc w:val="center"/>
                    <w:rPr>
                      <w:kern w:val="0"/>
                      <w:szCs w:val="21"/>
                    </w:rPr>
                  </w:pPr>
                  <w:r>
                    <w:rPr>
                      <w:rFonts w:hint="eastAsia"/>
                      <w:kern w:val="0"/>
                      <w:szCs w:val="21"/>
                    </w:rPr>
                    <w:t>污水</w:t>
                  </w:r>
                  <w:r>
                    <w:rPr>
                      <w:kern w:val="0"/>
                      <w:szCs w:val="21"/>
                    </w:rPr>
                    <w:t>总排口</w:t>
                  </w:r>
                </w:p>
              </w:tc>
              <w:tc>
                <w:tcPr>
                  <w:tcW w:w="754" w:type="pct"/>
                  <w:tcMar>
                    <w:left w:w="28" w:type="dxa"/>
                    <w:right w:w="28" w:type="dxa"/>
                  </w:tcMar>
                  <w:vAlign w:val="center"/>
                </w:tcPr>
                <w:p>
                  <w:pPr>
                    <w:snapToGrid w:val="0"/>
                    <w:jc w:val="center"/>
                    <w:rPr>
                      <w:kern w:val="0"/>
                      <w:szCs w:val="21"/>
                    </w:rPr>
                  </w:pPr>
                  <w:r>
                    <w:rPr>
                      <w:kern w:val="0"/>
                      <w:szCs w:val="21"/>
                    </w:rPr>
                    <w:t>自动监测</w:t>
                  </w:r>
                </w:p>
              </w:tc>
              <w:tc>
                <w:tcPr>
                  <w:tcW w:w="1096" w:type="pct"/>
                  <w:vMerge w:val="restart"/>
                  <w:tcMar>
                    <w:left w:w="28" w:type="dxa"/>
                    <w:right w:w="28" w:type="dxa"/>
                  </w:tcMar>
                  <w:vAlign w:val="center"/>
                </w:tcPr>
                <w:p>
                  <w:pPr>
                    <w:rPr>
                      <w:bCs/>
                      <w:kern w:val="0"/>
                      <w:szCs w:val="21"/>
                    </w:rPr>
                  </w:pPr>
                  <w:r>
                    <w:t>《医疗机构水污染物排放标准》（</w:t>
                  </w:r>
                  <w:r>
                    <w:rPr>
                      <w:rFonts w:eastAsia="TimesNewRomanPSMT"/>
                    </w:rPr>
                    <w:t>GB18466-2005</w:t>
                  </w:r>
                  <w:r>
                    <w:t>）表</w:t>
                  </w:r>
                  <w:r>
                    <w:rPr>
                      <w:rFonts w:eastAsia="TimesNewRomanPSMT"/>
                    </w:rPr>
                    <w:t>2</w:t>
                  </w:r>
                  <w:r>
                    <w:t>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pct"/>
                  <w:vMerge w:val="continue"/>
                  <w:tcMar>
                    <w:left w:w="28" w:type="dxa"/>
                    <w:right w:w="28" w:type="dxa"/>
                  </w:tcMar>
                  <w:vAlign w:val="center"/>
                </w:tcPr>
                <w:p>
                  <w:pPr>
                    <w:snapToGrid w:val="0"/>
                    <w:jc w:val="center"/>
                    <w:rPr>
                      <w:lang w:bidi="ar"/>
                    </w:rPr>
                  </w:pPr>
                </w:p>
              </w:tc>
              <w:tc>
                <w:tcPr>
                  <w:tcW w:w="1616" w:type="pct"/>
                  <w:tcMar>
                    <w:left w:w="28" w:type="dxa"/>
                    <w:right w:w="28" w:type="dxa"/>
                  </w:tcMar>
                  <w:vAlign w:val="center"/>
                </w:tcPr>
                <w:p>
                  <w:pPr>
                    <w:snapToGrid w:val="0"/>
                    <w:jc w:val="center"/>
                    <w:rPr>
                      <w:szCs w:val="21"/>
                      <w:lang w:bidi="ar"/>
                    </w:rPr>
                  </w:pPr>
                  <w:r>
                    <w:rPr>
                      <w:lang w:bidi="ar"/>
                    </w:rPr>
                    <w:t>COD、SS</w:t>
                  </w:r>
                  <w:r>
                    <w:rPr>
                      <w:szCs w:val="21"/>
                      <w:lang w:bidi="ar"/>
                    </w:rPr>
                    <w:t xml:space="preserve"> </w:t>
                  </w:r>
                  <w:r>
                    <w:rPr>
                      <w:rFonts w:hint="eastAsia"/>
                      <w:szCs w:val="21"/>
                      <w:lang w:bidi="ar"/>
                    </w:rPr>
                    <w:t>、</w:t>
                  </w:r>
                  <w:r>
                    <w:rPr>
                      <w:szCs w:val="21"/>
                      <w:lang w:bidi="ar"/>
                    </w:rPr>
                    <w:t>BOD</w:t>
                  </w:r>
                  <w:r>
                    <w:rPr>
                      <w:szCs w:val="21"/>
                      <w:vertAlign w:val="subscript"/>
                      <w:lang w:bidi="ar"/>
                    </w:rPr>
                    <w:t>5</w:t>
                  </w:r>
                  <w:r>
                    <w:rPr>
                      <w:szCs w:val="21"/>
                      <w:lang w:bidi="ar"/>
                    </w:rPr>
                    <w:t>、</w:t>
                  </w:r>
                  <w:r>
                    <w:rPr>
                      <w:rFonts w:hint="eastAsia"/>
                      <w:szCs w:val="21"/>
                      <w:lang w:bidi="ar"/>
                    </w:rPr>
                    <w:t>阴离子表面活性剂、石油类、挥发酚、动植物油、色度、氨氮、</w:t>
                  </w:r>
                  <w:r>
                    <w:rPr>
                      <w:lang w:bidi="ar"/>
                    </w:rPr>
                    <w:t>粪大肠菌群</w:t>
                  </w:r>
                </w:p>
              </w:tc>
              <w:tc>
                <w:tcPr>
                  <w:tcW w:w="670" w:type="pct"/>
                  <w:vMerge w:val="continue"/>
                  <w:tcMar>
                    <w:left w:w="28" w:type="dxa"/>
                    <w:right w:w="28" w:type="dxa"/>
                  </w:tcMar>
                  <w:vAlign w:val="center"/>
                </w:tcPr>
                <w:p>
                  <w:pPr>
                    <w:snapToGrid w:val="0"/>
                    <w:jc w:val="center"/>
                    <w:rPr>
                      <w:kern w:val="0"/>
                      <w:szCs w:val="21"/>
                      <w:lang w:bidi="ar"/>
                    </w:rPr>
                  </w:pPr>
                </w:p>
              </w:tc>
              <w:tc>
                <w:tcPr>
                  <w:tcW w:w="754" w:type="pct"/>
                  <w:tcMar>
                    <w:left w:w="28" w:type="dxa"/>
                    <w:right w:w="28" w:type="dxa"/>
                  </w:tcMar>
                  <w:vAlign w:val="center"/>
                </w:tcPr>
                <w:p>
                  <w:pPr>
                    <w:snapToGrid w:val="0"/>
                    <w:jc w:val="center"/>
                    <w:rPr>
                      <w:kern w:val="0"/>
                      <w:szCs w:val="21"/>
                      <w:lang w:bidi="ar"/>
                    </w:rPr>
                  </w:pPr>
                  <w:r>
                    <w:rPr>
                      <w:kern w:val="0"/>
                      <w:szCs w:val="21"/>
                      <w:lang w:bidi="ar"/>
                    </w:rPr>
                    <w:t>季度</w:t>
                  </w:r>
                </w:p>
              </w:tc>
              <w:tc>
                <w:tcPr>
                  <w:tcW w:w="1096" w:type="pct"/>
                  <w:vMerge w:val="continue"/>
                  <w:tcMar>
                    <w:left w:w="28" w:type="dxa"/>
                    <w:right w:w="28" w:type="dxa"/>
                  </w:tcMar>
                  <w:vAlign w:val="center"/>
                </w:tcPr>
                <w:p>
                  <w:pPr>
                    <w:snapToGrid w:val="0"/>
                    <w:jc w:val="center"/>
                    <w:rPr>
                      <w:kern w:val="0"/>
                      <w:szCs w:val="21"/>
                      <w:lang w:bidi="ar"/>
                    </w:rPr>
                  </w:pPr>
                </w:p>
              </w:tc>
            </w:tr>
          </w:tbl>
          <w:p>
            <w:pPr>
              <w:widowControl/>
              <w:spacing w:line="360" w:lineRule="auto"/>
              <w:ind w:firstLine="482" w:firstLineChars="200"/>
              <w:contextualSpacing/>
              <w:rPr>
                <w:b/>
                <w:kern w:val="0"/>
                <w:sz w:val="24"/>
              </w:rPr>
            </w:pPr>
            <w:r>
              <w:rPr>
                <w:b/>
                <w:kern w:val="0"/>
                <w:sz w:val="24"/>
              </w:rPr>
              <w:t>3、噪声</w:t>
            </w:r>
          </w:p>
          <w:p>
            <w:pPr>
              <w:widowControl/>
              <w:spacing w:line="360" w:lineRule="auto"/>
              <w:ind w:firstLine="480" w:firstLineChars="200"/>
              <w:rPr>
                <w:sz w:val="24"/>
              </w:rPr>
            </w:pPr>
            <w:r>
              <w:rPr>
                <w:sz w:val="24"/>
              </w:rPr>
              <w:t>（1）噪声源强及降噪措施</w:t>
            </w:r>
          </w:p>
          <w:p>
            <w:pPr>
              <w:widowControl/>
              <w:spacing w:line="360" w:lineRule="auto"/>
              <w:ind w:firstLine="504" w:firstLineChars="200"/>
              <w:rPr>
                <w:sz w:val="24"/>
              </w:rPr>
            </w:pPr>
            <w:r>
              <w:rPr>
                <w:spacing w:val="6"/>
                <w:sz w:val="24"/>
              </w:rPr>
              <w:t>本项目运营期医疗设备均在室内使用，且无高噪声源，</w:t>
            </w:r>
            <w:r>
              <w:rPr>
                <w:rFonts w:hint="eastAsia"/>
                <w:spacing w:val="6"/>
                <w:sz w:val="24"/>
              </w:rPr>
              <w:t>因此本次评价</w:t>
            </w:r>
            <w:r>
              <w:rPr>
                <w:spacing w:val="6"/>
                <w:sz w:val="24"/>
              </w:rPr>
              <w:t>主要分析运营中</w:t>
            </w:r>
            <w:r>
              <w:rPr>
                <w:rFonts w:hint="eastAsia"/>
                <w:spacing w:val="6"/>
                <w:sz w:val="24"/>
              </w:rPr>
              <w:t>污水</w:t>
            </w:r>
            <w:r>
              <w:rPr>
                <w:spacing w:val="6"/>
                <w:sz w:val="24"/>
              </w:rPr>
              <w:t>处理站水泵</w:t>
            </w:r>
            <w:r>
              <w:rPr>
                <w:rFonts w:hint="eastAsia"/>
                <w:spacing w:val="6"/>
                <w:sz w:val="24"/>
              </w:rPr>
              <w:t>、污泥泵、提升泵；锅炉房风机和水泵；食堂油烟净化器风机；空调机组，</w:t>
            </w:r>
            <w:r>
              <w:rPr>
                <w:spacing w:val="6"/>
                <w:sz w:val="24"/>
              </w:rPr>
              <w:t>噪声级为80dB（A）</w:t>
            </w:r>
            <w:r>
              <w:rPr>
                <w:rFonts w:hint="eastAsia"/>
                <w:spacing w:val="6"/>
                <w:sz w:val="24"/>
              </w:rPr>
              <w:t>以下</w:t>
            </w:r>
            <w:r>
              <w:rPr>
                <w:spacing w:val="6"/>
                <w:sz w:val="24"/>
              </w:rPr>
              <w:t>。项目通过采取选用低噪声设备、基础减振等措施来控制固定源噪声排放。通过采取以上措施后，预计可将噪声减少20dB（A）左右。项目</w:t>
            </w:r>
            <w:r>
              <w:rPr>
                <w:rFonts w:hint="eastAsia"/>
                <w:spacing w:val="6"/>
                <w:sz w:val="24"/>
              </w:rPr>
              <w:t>主要</w:t>
            </w:r>
            <w:r>
              <w:rPr>
                <w:spacing w:val="6"/>
                <w:sz w:val="24"/>
              </w:rPr>
              <w:t>噪声源强</w:t>
            </w:r>
            <w:r>
              <w:rPr>
                <w:rFonts w:hint="eastAsia"/>
                <w:spacing w:val="6"/>
                <w:sz w:val="24"/>
              </w:rPr>
              <w:t>及位置分布情况分别</w:t>
            </w:r>
            <w:r>
              <w:rPr>
                <w:spacing w:val="6"/>
                <w:sz w:val="24"/>
              </w:rPr>
              <w:t>见表</w:t>
            </w:r>
            <w:r>
              <w:rPr>
                <w:rFonts w:hint="eastAsia"/>
                <w:spacing w:val="6"/>
                <w:sz w:val="24"/>
              </w:rPr>
              <w:t>4-7和表4</w:t>
            </w:r>
            <w:r>
              <w:rPr>
                <w:spacing w:val="6"/>
                <w:sz w:val="24"/>
              </w:rPr>
              <w:t>-8。</w:t>
            </w:r>
          </w:p>
          <w:p>
            <w:pPr>
              <w:pStyle w:val="74"/>
              <w:spacing w:line="240" w:lineRule="auto"/>
              <w:rPr>
                <w:rFonts w:eastAsia="宋体"/>
                <w:b/>
                <w:kern w:val="2"/>
                <w:szCs w:val="24"/>
              </w:rPr>
            </w:pPr>
            <w:r>
              <w:rPr>
                <w:rFonts w:eastAsia="宋体"/>
                <w:b/>
                <w:kern w:val="2"/>
                <w:szCs w:val="24"/>
              </w:rPr>
              <w:t>表</w:t>
            </w:r>
            <w:r>
              <w:rPr>
                <w:rFonts w:hint="eastAsia" w:eastAsia="宋体"/>
                <w:b/>
                <w:kern w:val="2"/>
                <w:szCs w:val="24"/>
              </w:rPr>
              <w:t>4-7</w:t>
            </w:r>
            <w:r>
              <w:rPr>
                <w:rFonts w:eastAsia="宋体"/>
                <w:b/>
                <w:kern w:val="2"/>
                <w:szCs w:val="24"/>
              </w:rPr>
              <w:t xml:space="preserve"> 项目</w:t>
            </w:r>
            <w:r>
              <w:rPr>
                <w:rFonts w:hint="eastAsia" w:eastAsia="宋体"/>
                <w:b/>
                <w:kern w:val="2"/>
                <w:szCs w:val="24"/>
              </w:rPr>
              <w:t>主要</w:t>
            </w:r>
            <w:r>
              <w:rPr>
                <w:rFonts w:eastAsia="宋体"/>
                <w:b/>
                <w:kern w:val="2"/>
                <w:szCs w:val="24"/>
              </w:rPr>
              <w:t>噪声源强</w:t>
            </w:r>
            <w:r>
              <w:rPr>
                <w:rFonts w:hint="eastAsia" w:eastAsia="宋体"/>
                <w:b/>
                <w:kern w:val="2"/>
                <w:szCs w:val="24"/>
              </w:rPr>
              <w:t>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916"/>
              <w:gridCol w:w="1254"/>
              <w:gridCol w:w="968"/>
              <w:gridCol w:w="1214"/>
              <w:gridCol w:w="1214"/>
              <w:gridCol w:w="121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78" w:type="pct"/>
                  <w:vAlign w:val="center"/>
                </w:tcPr>
                <w:p>
                  <w:pPr>
                    <w:snapToGrid w:val="0"/>
                    <w:jc w:val="center"/>
                    <w:rPr>
                      <w:szCs w:val="21"/>
                    </w:rPr>
                  </w:pPr>
                  <w:r>
                    <w:rPr>
                      <w:b/>
                      <w:szCs w:val="21"/>
                    </w:rPr>
                    <w:t>序号</w:t>
                  </w:r>
                </w:p>
              </w:tc>
              <w:tc>
                <w:tcPr>
                  <w:tcW w:w="1282" w:type="pct"/>
                  <w:gridSpan w:val="2"/>
                  <w:vAlign w:val="center"/>
                </w:tcPr>
                <w:p>
                  <w:pPr>
                    <w:snapToGrid w:val="0"/>
                    <w:jc w:val="center"/>
                    <w:rPr>
                      <w:szCs w:val="21"/>
                    </w:rPr>
                  </w:pPr>
                  <w:r>
                    <w:rPr>
                      <w:rFonts w:hint="eastAsia"/>
                      <w:b/>
                      <w:szCs w:val="21"/>
                    </w:rPr>
                    <w:t>噪声源</w:t>
                  </w:r>
                </w:p>
              </w:tc>
              <w:tc>
                <w:tcPr>
                  <w:tcW w:w="572" w:type="pct"/>
                  <w:vAlign w:val="center"/>
                </w:tcPr>
                <w:p>
                  <w:pPr>
                    <w:snapToGrid w:val="0"/>
                    <w:jc w:val="center"/>
                    <w:rPr>
                      <w:b/>
                      <w:szCs w:val="21"/>
                    </w:rPr>
                  </w:pPr>
                  <w:r>
                    <w:rPr>
                      <w:rFonts w:hint="eastAsia"/>
                      <w:b/>
                      <w:szCs w:val="21"/>
                    </w:rPr>
                    <w:t>数量</w:t>
                  </w:r>
                </w:p>
              </w:tc>
              <w:tc>
                <w:tcPr>
                  <w:tcW w:w="717" w:type="pct"/>
                  <w:vAlign w:val="center"/>
                </w:tcPr>
                <w:p>
                  <w:pPr>
                    <w:snapToGrid w:val="0"/>
                    <w:jc w:val="center"/>
                    <w:rPr>
                      <w:szCs w:val="21"/>
                    </w:rPr>
                  </w:pPr>
                  <w:r>
                    <w:rPr>
                      <w:b/>
                      <w:szCs w:val="21"/>
                    </w:rPr>
                    <w:t>等效声级dB(A)</w:t>
                  </w:r>
                </w:p>
              </w:tc>
              <w:tc>
                <w:tcPr>
                  <w:tcW w:w="717" w:type="pct"/>
                  <w:vAlign w:val="center"/>
                </w:tcPr>
                <w:p>
                  <w:pPr>
                    <w:snapToGrid w:val="0"/>
                    <w:jc w:val="center"/>
                    <w:rPr>
                      <w:b/>
                      <w:szCs w:val="21"/>
                    </w:rPr>
                  </w:pPr>
                  <w:r>
                    <w:rPr>
                      <w:rFonts w:hint="eastAsia"/>
                      <w:b/>
                      <w:szCs w:val="21"/>
                    </w:rPr>
                    <w:t>运行时间</w:t>
                  </w:r>
                </w:p>
              </w:tc>
              <w:tc>
                <w:tcPr>
                  <w:tcW w:w="717" w:type="pct"/>
                  <w:vAlign w:val="center"/>
                </w:tcPr>
                <w:p>
                  <w:pPr>
                    <w:snapToGrid w:val="0"/>
                    <w:jc w:val="center"/>
                    <w:rPr>
                      <w:szCs w:val="21"/>
                    </w:rPr>
                  </w:pPr>
                  <w:r>
                    <w:rPr>
                      <w:b/>
                      <w:szCs w:val="21"/>
                    </w:rPr>
                    <w:t>拟采取措施</w:t>
                  </w:r>
                </w:p>
              </w:tc>
              <w:tc>
                <w:tcPr>
                  <w:tcW w:w="716" w:type="pct"/>
                  <w:vAlign w:val="center"/>
                </w:tcPr>
                <w:p>
                  <w:pPr>
                    <w:snapToGrid w:val="0"/>
                    <w:jc w:val="center"/>
                    <w:rPr>
                      <w:spacing w:val="-6"/>
                      <w:szCs w:val="21"/>
                    </w:rPr>
                  </w:pPr>
                  <w:r>
                    <w:rPr>
                      <w:b/>
                      <w:spacing w:val="-6"/>
                      <w:szCs w:val="21"/>
                    </w:rPr>
                    <w:t>采取措施后源强dB(A)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kern w:val="0"/>
                      <w:szCs w:val="21"/>
                    </w:rPr>
                    <w:t>1</w:t>
                  </w:r>
                </w:p>
              </w:tc>
              <w:tc>
                <w:tcPr>
                  <w:tcW w:w="541" w:type="pct"/>
                  <w:vMerge w:val="restart"/>
                  <w:vAlign w:val="center"/>
                </w:tcPr>
                <w:p>
                  <w:pPr>
                    <w:snapToGrid w:val="0"/>
                    <w:jc w:val="center"/>
                    <w:rPr>
                      <w:spacing w:val="-11"/>
                      <w:szCs w:val="21"/>
                    </w:rPr>
                  </w:pPr>
                  <w:r>
                    <w:rPr>
                      <w:rFonts w:hint="eastAsia"/>
                      <w:spacing w:val="-11"/>
                      <w:szCs w:val="21"/>
                    </w:rPr>
                    <w:t>污水处理站</w:t>
                  </w:r>
                </w:p>
              </w:tc>
              <w:tc>
                <w:tcPr>
                  <w:tcW w:w="741" w:type="pct"/>
                  <w:vAlign w:val="center"/>
                </w:tcPr>
                <w:p>
                  <w:pPr>
                    <w:snapToGrid w:val="0"/>
                    <w:jc w:val="center"/>
                    <w:rPr>
                      <w:szCs w:val="21"/>
                    </w:rPr>
                  </w:pPr>
                  <w:r>
                    <w:rPr>
                      <w:szCs w:val="21"/>
                    </w:rPr>
                    <w:t>水泵</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szCs w:val="21"/>
                    </w:rPr>
                    <w:t>70</w:t>
                  </w:r>
                </w:p>
              </w:tc>
              <w:tc>
                <w:tcPr>
                  <w:tcW w:w="717" w:type="pct"/>
                  <w:vMerge w:val="restart"/>
                  <w:vAlign w:val="center"/>
                </w:tcPr>
                <w:p>
                  <w:pPr>
                    <w:snapToGrid w:val="0"/>
                    <w:jc w:val="center"/>
                    <w:rPr>
                      <w:szCs w:val="21"/>
                    </w:rPr>
                  </w:pPr>
                  <w:r>
                    <w:rPr>
                      <w:rFonts w:hint="eastAsia"/>
                      <w:szCs w:val="21"/>
                    </w:rPr>
                    <w:t>连续</w:t>
                  </w:r>
                </w:p>
              </w:tc>
              <w:tc>
                <w:tcPr>
                  <w:tcW w:w="717" w:type="pct"/>
                  <w:vMerge w:val="restart"/>
                  <w:vAlign w:val="center"/>
                </w:tcPr>
                <w:p>
                  <w:pPr>
                    <w:snapToGrid w:val="0"/>
                    <w:jc w:val="center"/>
                    <w:rPr>
                      <w:szCs w:val="21"/>
                    </w:rPr>
                  </w:pPr>
                  <w:r>
                    <w:rPr>
                      <w:szCs w:val="21"/>
                    </w:rPr>
                    <w:t>室内放置，选用低噪声设备、基础减振</w:t>
                  </w:r>
                </w:p>
              </w:tc>
              <w:tc>
                <w:tcPr>
                  <w:tcW w:w="716" w:type="pct"/>
                  <w:vAlign w:val="center"/>
                </w:tcPr>
                <w:p>
                  <w:pPr>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rFonts w:hint="eastAsia"/>
                      <w:kern w:val="0"/>
                      <w:szCs w:val="21"/>
                    </w:rPr>
                    <w:t>2</w:t>
                  </w:r>
                </w:p>
              </w:tc>
              <w:tc>
                <w:tcPr>
                  <w:tcW w:w="541" w:type="pct"/>
                  <w:vMerge w:val="continue"/>
                  <w:vAlign w:val="center"/>
                </w:tcPr>
                <w:p>
                  <w:pPr>
                    <w:snapToGrid w:val="0"/>
                    <w:jc w:val="center"/>
                    <w:rPr>
                      <w:spacing w:val="-11"/>
                      <w:szCs w:val="21"/>
                    </w:rPr>
                  </w:pPr>
                </w:p>
              </w:tc>
              <w:tc>
                <w:tcPr>
                  <w:tcW w:w="741" w:type="pct"/>
                  <w:vAlign w:val="center"/>
                </w:tcPr>
                <w:p>
                  <w:pPr>
                    <w:snapToGrid w:val="0"/>
                    <w:jc w:val="center"/>
                    <w:rPr>
                      <w:szCs w:val="21"/>
                    </w:rPr>
                  </w:pPr>
                  <w:r>
                    <w:rPr>
                      <w:rFonts w:hint="eastAsia"/>
                      <w:szCs w:val="21"/>
                    </w:rPr>
                    <w:t>提升泵</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rFonts w:hint="eastAsia"/>
                      <w:szCs w:val="21"/>
                    </w:rPr>
                    <w:t>7</w:t>
                  </w:r>
                  <w:r>
                    <w:rPr>
                      <w:szCs w:val="21"/>
                    </w:rPr>
                    <w:t>0</w:t>
                  </w:r>
                </w:p>
              </w:tc>
              <w:tc>
                <w:tcPr>
                  <w:tcW w:w="717" w:type="pct"/>
                  <w:vMerge w:val="continue"/>
                  <w:vAlign w:val="center"/>
                </w:tcPr>
                <w:p>
                  <w:pPr>
                    <w:snapToGrid w:val="0"/>
                    <w:jc w:val="center"/>
                    <w:rPr>
                      <w:szCs w:val="21"/>
                    </w:rPr>
                  </w:pP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rFonts w:hint="eastAsia"/>
                      <w:szCs w:val="21"/>
                    </w:rPr>
                    <w:t>5</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kern w:val="0"/>
                      <w:szCs w:val="21"/>
                    </w:rPr>
                    <w:t>3</w:t>
                  </w:r>
                </w:p>
              </w:tc>
              <w:tc>
                <w:tcPr>
                  <w:tcW w:w="541" w:type="pct"/>
                  <w:vMerge w:val="continue"/>
                  <w:vAlign w:val="center"/>
                </w:tcPr>
                <w:p>
                  <w:pPr>
                    <w:snapToGrid w:val="0"/>
                    <w:jc w:val="center"/>
                    <w:rPr>
                      <w:szCs w:val="21"/>
                    </w:rPr>
                  </w:pPr>
                </w:p>
              </w:tc>
              <w:tc>
                <w:tcPr>
                  <w:tcW w:w="741" w:type="pct"/>
                  <w:vAlign w:val="center"/>
                </w:tcPr>
                <w:p>
                  <w:pPr>
                    <w:snapToGrid w:val="0"/>
                    <w:jc w:val="center"/>
                    <w:rPr>
                      <w:szCs w:val="21"/>
                    </w:rPr>
                  </w:pPr>
                  <w:r>
                    <w:rPr>
                      <w:rFonts w:hint="eastAsia"/>
                      <w:szCs w:val="21"/>
                    </w:rPr>
                    <w:t>污泥泵</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szCs w:val="21"/>
                    </w:rPr>
                    <w:t>70</w:t>
                  </w:r>
                </w:p>
              </w:tc>
              <w:tc>
                <w:tcPr>
                  <w:tcW w:w="717" w:type="pct"/>
                  <w:vMerge w:val="continue"/>
                  <w:vAlign w:val="center"/>
                </w:tcPr>
                <w:p>
                  <w:pPr>
                    <w:snapToGrid w:val="0"/>
                    <w:jc w:val="center"/>
                    <w:rPr>
                      <w:szCs w:val="21"/>
                    </w:rPr>
                  </w:pP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kern w:val="0"/>
                      <w:szCs w:val="21"/>
                    </w:rPr>
                    <w:t>4</w:t>
                  </w:r>
                </w:p>
              </w:tc>
              <w:tc>
                <w:tcPr>
                  <w:tcW w:w="541" w:type="pct"/>
                  <w:vMerge w:val="restart"/>
                  <w:vAlign w:val="center"/>
                </w:tcPr>
                <w:p>
                  <w:pPr>
                    <w:snapToGrid w:val="0"/>
                    <w:jc w:val="center"/>
                    <w:rPr>
                      <w:szCs w:val="21"/>
                    </w:rPr>
                  </w:pPr>
                  <w:r>
                    <w:rPr>
                      <w:rFonts w:hint="eastAsia"/>
                      <w:szCs w:val="21"/>
                    </w:rPr>
                    <w:t>锅炉房</w:t>
                  </w:r>
                </w:p>
              </w:tc>
              <w:tc>
                <w:tcPr>
                  <w:tcW w:w="741" w:type="pct"/>
                  <w:vAlign w:val="center"/>
                </w:tcPr>
                <w:p>
                  <w:pPr>
                    <w:snapToGrid w:val="0"/>
                    <w:jc w:val="center"/>
                    <w:rPr>
                      <w:szCs w:val="21"/>
                    </w:rPr>
                  </w:pPr>
                  <w:r>
                    <w:rPr>
                      <w:rFonts w:hint="eastAsia"/>
                      <w:szCs w:val="21"/>
                    </w:rPr>
                    <w:t>风机</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szCs w:val="21"/>
                    </w:rPr>
                    <w:t>80</w:t>
                  </w:r>
                </w:p>
              </w:tc>
              <w:tc>
                <w:tcPr>
                  <w:tcW w:w="717" w:type="pct"/>
                  <w:vMerge w:val="restart"/>
                  <w:vAlign w:val="center"/>
                </w:tcPr>
                <w:p>
                  <w:pPr>
                    <w:snapToGrid w:val="0"/>
                    <w:jc w:val="center"/>
                    <w:rPr>
                      <w:szCs w:val="21"/>
                    </w:rPr>
                  </w:pPr>
                  <w:r>
                    <w:rPr>
                      <w:rFonts w:hint="eastAsia"/>
                      <w:szCs w:val="21"/>
                    </w:rPr>
                    <w:t>连续运行（供暖期）</w:t>
                  </w: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kern w:val="0"/>
                      <w:szCs w:val="21"/>
                    </w:rPr>
                    <w:t>5</w:t>
                  </w:r>
                </w:p>
              </w:tc>
              <w:tc>
                <w:tcPr>
                  <w:tcW w:w="541" w:type="pct"/>
                  <w:vMerge w:val="continue"/>
                  <w:vAlign w:val="center"/>
                </w:tcPr>
                <w:p>
                  <w:pPr>
                    <w:snapToGrid w:val="0"/>
                    <w:jc w:val="center"/>
                    <w:rPr>
                      <w:szCs w:val="21"/>
                    </w:rPr>
                  </w:pPr>
                </w:p>
              </w:tc>
              <w:tc>
                <w:tcPr>
                  <w:tcW w:w="741" w:type="pct"/>
                  <w:vAlign w:val="center"/>
                </w:tcPr>
                <w:p>
                  <w:pPr>
                    <w:snapToGrid w:val="0"/>
                    <w:jc w:val="center"/>
                    <w:rPr>
                      <w:szCs w:val="21"/>
                    </w:rPr>
                  </w:pPr>
                  <w:r>
                    <w:rPr>
                      <w:rFonts w:hint="eastAsia"/>
                      <w:szCs w:val="21"/>
                    </w:rPr>
                    <w:t>水泵</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szCs w:val="21"/>
                    </w:rPr>
                    <w:t>80</w:t>
                  </w:r>
                </w:p>
              </w:tc>
              <w:tc>
                <w:tcPr>
                  <w:tcW w:w="717" w:type="pct"/>
                  <w:vMerge w:val="continue"/>
                  <w:vAlign w:val="center"/>
                </w:tcPr>
                <w:p>
                  <w:pPr>
                    <w:snapToGrid w:val="0"/>
                    <w:jc w:val="center"/>
                    <w:rPr>
                      <w:szCs w:val="21"/>
                    </w:rPr>
                  </w:pP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rFonts w:hint="eastAsia"/>
                      <w:szCs w:val="21"/>
                    </w:rPr>
                    <w:t>6</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rFonts w:hint="eastAsia"/>
                      <w:kern w:val="0"/>
                      <w:szCs w:val="21"/>
                    </w:rPr>
                    <w:t>6</w:t>
                  </w:r>
                </w:p>
              </w:tc>
              <w:tc>
                <w:tcPr>
                  <w:tcW w:w="541" w:type="pct"/>
                  <w:vAlign w:val="center"/>
                </w:tcPr>
                <w:p>
                  <w:pPr>
                    <w:snapToGrid w:val="0"/>
                    <w:jc w:val="center"/>
                    <w:rPr>
                      <w:szCs w:val="21"/>
                    </w:rPr>
                  </w:pPr>
                  <w:r>
                    <w:rPr>
                      <w:rFonts w:hint="eastAsia"/>
                      <w:szCs w:val="21"/>
                    </w:rPr>
                    <w:t>食堂</w:t>
                  </w:r>
                </w:p>
              </w:tc>
              <w:tc>
                <w:tcPr>
                  <w:tcW w:w="741" w:type="pct"/>
                  <w:vAlign w:val="center"/>
                </w:tcPr>
                <w:p>
                  <w:pPr>
                    <w:snapToGrid w:val="0"/>
                    <w:jc w:val="center"/>
                    <w:rPr>
                      <w:szCs w:val="21"/>
                    </w:rPr>
                  </w:pPr>
                  <w:r>
                    <w:rPr>
                      <w:rFonts w:hint="eastAsia"/>
                      <w:szCs w:val="21"/>
                    </w:rPr>
                    <w:t>油烟净化器风机</w:t>
                  </w:r>
                </w:p>
              </w:tc>
              <w:tc>
                <w:tcPr>
                  <w:tcW w:w="572" w:type="pct"/>
                  <w:vAlign w:val="center"/>
                </w:tcPr>
                <w:p>
                  <w:pPr>
                    <w:snapToGrid w:val="0"/>
                    <w:jc w:val="center"/>
                    <w:rPr>
                      <w:szCs w:val="21"/>
                    </w:rPr>
                  </w:pPr>
                  <w:r>
                    <w:rPr>
                      <w:rFonts w:hint="eastAsia"/>
                      <w:szCs w:val="21"/>
                    </w:rPr>
                    <w:t>2</w:t>
                  </w:r>
                </w:p>
              </w:tc>
              <w:tc>
                <w:tcPr>
                  <w:tcW w:w="717" w:type="pct"/>
                  <w:vAlign w:val="center"/>
                </w:tcPr>
                <w:p>
                  <w:pPr>
                    <w:snapToGrid w:val="0"/>
                    <w:jc w:val="center"/>
                    <w:rPr>
                      <w:szCs w:val="21"/>
                    </w:rPr>
                  </w:pPr>
                  <w:r>
                    <w:rPr>
                      <w:rFonts w:hint="eastAsia"/>
                      <w:szCs w:val="21"/>
                    </w:rPr>
                    <w:t>8</w:t>
                  </w:r>
                  <w:r>
                    <w:rPr>
                      <w:szCs w:val="21"/>
                    </w:rPr>
                    <w:t>0</w:t>
                  </w:r>
                </w:p>
              </w:tc>
              <w:tc>
                <w:tcPr>
                  <w:tcW w:w="717" w:type="pct"/>
                  <w:vAlign w:val="center"/>
                </w:tcPr>
                <w:p>
                  <w:pPr>
                    <w:snapToGrid w:val="0"/>
                    <w:jc w:val="center"/>
                    <w:rPr>
                      <w:szCs w:val="21"/>
                    </w:rPr>
                  </w:pPr>
                  <w:r>
                    <w:rPr>
                      <w:rFonts w:hint="eastAsia"/>
                      <w:szCs w:val="21"/>
                    </w:rPr>
                    <w:t>间断运行</w:t>
                  </w: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rFonts w:hint="eastAsia"/>
                      <w:szCs w:val="21"/>
                    </w:rPr>
                    <w:t>6</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8" w:type="pct"/>
                  <w:vAlign w:val="center"/>
                </w:tcPr>
                <w:p>
                  <w:pPr>
                    <w:widowControl/>
                    <w:snapToGrid w:val="0"/>
                    <w:jc w:val="center"/>
                    <w:rPr>
                      <w:kern w:val="0"/>
                      <w:szCs w:val="21"/>
                    </w:rPr>
                  </w:pPr>
                  <w:r>
                    <w:rPr>
                      <w:rFonts w:hint="eastAsia"/>
                      <w:kern w:val="0"/>
                      <w:szCs w:val="21"/>
                    </w:rPr>
                    <w:t>7</w:t>
                  </w:r>
                </w:p>
              </w:tc>
              <w:tc>
                <w:tcPr>
                  <w:tcW w:w="541" w:type="pct"/>
                  <w:vAlign w:val="center"/>
                </w:tcPr>
                <w:p>
                  <w:pPr>
                    <w:snapToGrid w:val="0"/>
                    <w:jc w:val="center"/>
                    <w:rPr>
                      <w:szCs w:val="21"/>
                    </w:rPr>
                  </w:pPr>
                  <w:r>
                    <w:rPr>
                      <w:rFonts w:hint="eastAsia"/>
                      <w:szCs w:val="21"/>
                    </w:rPr>
                    <w:t>空调机房</w:t>
                  </w:r>
                </w:p>
              </w:tc>
              <w:tc>
                <w:tcPr>
                  <w:tcW w:w="741" w:type="pct"/>
                  <w:vAlign w:val="center"/>
                </w:tcPr>
                <w:p>
                  <w:pPr>
                    <w:snapToGrid w:val="0"/>
                    <w:jc w:val="center"/>
                    <w:rPr>
                      <w:szCs w:val="21"/>
                    </w:rPr>
                  </w:pPr>
                  <w:r>
                    <w:rPr>
                      <w:rFonts w:hint="eastAsia"/>
                      <w:szCs w:val="21"/>
                    </w:rPr>
                    <w:t>空调机组</w:t>
                  </w:r>
                </w:p>
              </w:tc>
              <w:tc>
                <w:tcPr>
                  <w:tcW w:w="572" w:type="pct"/>
                  <w:vAlign w:val="center"/>
                </w:tcPr>
                <w:p>
                  <w:pPr>
                    <w:snapToGrid w:val="0"/>
                    <w:jc w:val="center"/>
                    <w:rPr>
                      <w:szCs w:val="21"/>
                    </w:rPr>
                  </w:pPr>
                  <w:r>
                    <w:rPr>
                      <w:rFonts w:hint="eastAsia"/>
                      <w:szCs w:val="21"/>
                    </w:rPr>
                    <w:t>1</w:t>
                  </w:r>
                </w:p>
              </w:tc>
              <w:tc>
                <w:tcPr>
                  <w:tcW w:w="717" w:type="pct"/>
                  <w:vAlign w:val="center"/>
                </w:tcPr>
                <w:p>
                  <w:pPr>
                    <w:snapToGrid w:val="0"/>
                    <w:jc w:val="center"/>
                    <w:rPr>
                      <w:szCs w:val="21"/>
                    </w:rPr>
                  </w:pPr>
                  <w:r>
                    <w:rPr>
                      <w:rFonts w:hint="eastAsia"/>
                      <w:szCs w:val="21"/>
                    </w:rPr>
                    <w:t>7</w:t>
                  </w:r>
                  <w:r>
                    <w:rPr>
                      <w:szCs w:val="21"/>
                    </w:rPr>
                    <w:t>0</w:t>
                  </w:r>
                </w:p>
              </w:tc>
              <w:tc>
                <w:tcPr>
                  <w:tcW w:w="717" w:type="pct"/>
                  <w:vAlign w:val="center"/>
                </w:tcPr>
                <w:p>
                  <w:pPr>
                    <w:snapToGrid w:val="0"/>
                    <w:jc w:val="center"/>
                    <w:rPr>
                      <w:szCs w:val="21"/>
                    </w:rPr>
                  </w:pPr>
                  <w:r>
                    <w:rPr>
                      <w:rFonts w:hint="eastAsia"/>
                      <w:szCs w:val="21"/>
                    </w:rPr>
                    <w:t>连续运行</w:t>
                  </w:r>
                </w:p>
              </w:tc>
              <w:tc>
                <w:tcPr>
                  <w:tcW w:w="717" w:type="pct"/>
                  <w:vMerge w:val="continue"/>
                  <w:vAlign w:val="center"/>
                </w:tcPr>
                <w:p>
                  <w:pPr>
                    <w:snapToGrid w:val="0"/>
                    <w:jc w:val="center"/>
                    <w:rPr>
                      <w:szCs w:val="21"/>
                    </w:rPr>
                  </w:pPr>
                </w:p>
              </w:tc>
              <w:tc>
                <w:tcPr>
                  <w:tcW w:w="716" w:type="pct"/>
                  <w:vAlign w:val="center"/>
                </w:tcPr>
                <w:p>
                  <w:pPr>
                    <w:snapToGrid w:val="0"/>
                    <w:jc w:val="center"/>
                    <w:rPr>
                      <w:szCs w:val="21"/>
                    </w:rPr>
                  </w:pPr>
                  <w:r>
                    <w:rPr>
                      <w:rFonts w:hint="eastAsia"/>
                      <w:szCs w:val="21"/>
                    </w:rPr>
                    <w:t>5</w:t>
                  </w:r>
                  <w:r>
                    <w:rPr>
                      <w:szCs w:val="21"/>
                    </w:rPr>
                    <w:t>0</w:t>
                  </w:r>
                </w:p>
              </w:tc>
            </w:tr>
          </w:tbl>
          <w:p>
            <w:pPr>
              <w:pStyle w:val="74"/>
              <w:spacing w:line="240" w:lineRule="auto"/>
              <w:rPr>
                <w:rFonts w:eastAsia="宋体"/>
                <w:b/>
                <w:kern w:val="2"/>
                <w:szCs w:val="24"/>
              </w:rPr>
            </w:pPr>
            <w:r>
              <w:rPr>
                <w:rFonts w:eastAsia="宋体"/>
                <w:b/>
                <w:kern w:val="2"/>
                <w:szCs w:val="24"/>
              </w:rPr>
              <w:t>表</w:t>
            </w:r>
            <w:r>
              <w:rPr>
                <w:rFonts w:hint="eastAsia" w:eastAsia="宋体"/>
                <w:b/>
                <w:kern w:val="2"/>
                <w:szCs w:val="24"/>
              </w:rPr>
              <w:t>4-</w:t>
            </w:r>
            <w:r>
              <w:rPr>
                <w:rFonts w:eastAsia="宋体"/>
                <w:b/>
                <w:kern w:val="2"/>
                <w:szCs w:val="24"/>
              </w:rPr>
              <w:t>8 项目</w:t>
            </w:r>
            <w:r>
              <w:rPr>
                <w:rFonts w:hint="eastAsia" w:eastAsia="宋体"/>
                <w:b/>
                <w:kern w:val="2"/>
                <w:szCs w:val="24"/>
              </w:rPr>
              <w:t>主要</w:t>
            </w:r>
            <w:r>
              <w:rPr>
                <w:rFonts w:eastAsia="宋体"/>
                <w:b/>
                <w:kern w:val="2"/>
                <w:szCs w:val="24"/>
              </w:rPr>
              <w:t>噪声源强</w:t>
            </w:r>
            <w:r>
              <w:rPr>
                <w:rFonts w:hint="eastAsia" w:eastAsia="宋体"/>
                <w:b/>
                <w:kern w:val="2"/>
                <w:szCs w:val="24"/>
              </w:rPr>
              <w:t>位置分布情况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273"/>
              <w:gridCol w:w="1134"/>
              <w:gridCol w:w="1159"/>
              <w:gridCol w:w="1410"/>
              <w:gridCol w:w="141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restart"/>
                  <w:shd w:val="clear" w:color="auto" w:fill="auto"/>
                  <w:vAlign w:val="center"/>
                </w:tcPr>
                <w:p>
                  <w:pPr>
                    <w:widowControl/>
                    <w:spacing w:line="240" w:lineRule="exact"/>
                    <w:jc w:val="center"/>
                    <w:rPr>
                      <w:kern w:val="0"/>
                      <w:szCs w:val="21"/>
                    </w:rPr>
                  </w:pPr>
                  <w:r>
                    <w:rPr>
                      <w:rFonts w:hint="eastAsia"/>
                      <w:kern w:val="0"/>
                      <w:szCs w:val="21"/>
                    </w:rPr>
                    <w:t>序号</w:t>
                  </w:r>
                </w:p>
              </w:tc>
              <w:tc>
                <w:tcPr>
                  <w:tcW w:w="2407" w:type="dxa"/>
                  <w:gridSpan w:val="2"/>
                  <w:vMerge w:val="restart"/>
                  <w:shd w:val="clear" w:color="auto" w:fill="auto"/>
                  <w:vAlign w:val="center"/>
                </w:tcPr>
                <w:p>
                  <w:pPr>
                    <w:widowControl/>
                    <w:spacing w:line="240" w:lineRule="exact"/>
                    <w:jc w:val="center"/>
                    <w:rPr>
                      <w:kern w:val="0"/>
                      <w:szCs w:val="21"/>
                    </w:rPr>
                  </w:pPr>
                  <w:r>
                    <w:rPr>
                      <w:rFonts w:hint="eastAsia"/>
                      <w:kern w:val="0"/>
                      <w:szCs w:val="21"/>
                    </w:rPr>
                    <w:t>噪声源</w:t>
                  </w:r>
                </w:p>
              </w:tc>
              <w:tc>
                <w:tcPr>
                  <w:tcW w:w="5389" w:type="dxa"/>
                  <w:gridSpan w:val="4"/>
                  <w:shd w:val="clear" w:color="auto" w:fill="auto"/>
                  <w:vAlign w:val="center"/>
                </w:tcPr>
                <w:p>
                  <w:pPr>
                    <w:widowControl/>
                    <w:spacing w:line="240" w:lineRule="exact"/>
                    <w:jc w:val="center"/>
                    <w:rPr>
                      <w:kern w:val="0"/>
                      <w:szCs w:val="21"/>
                    </w:rPr>
                  </w:pPr>
                  <w:r>
                    <w:rPr>
                      <w:rFonts w:hint="eastAsia"/>
                      <w:kern w:val="0"/>
                      <w:szCs w:val="21"/>
                    </w:rPr>
                    <w:t>距厂界四周距离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shd w:val="clear" w:color="auto" w:fill="auto"/>
                  <w:vAlign w:val="center"/>
                </w:tcPr>
                <w:p>
                  <w:pPr>
                    <w:widowControl/>
                    <w:spacing w:line="240" w:lineRule="exact"/>
                    <w:jc w:val="center"/>
                    <w:rPr>
                      <w:kern w:val="0"/>
                      <w:szCs w:val="21"/>
                    </w:rPr>
                  </w:pPr>
                </w:p>
              </w:tc>
              <w:tc>
                <w:tcPr>
                  <w:tcW w:w="2407" w:type="dxa"/>
                  <w:gridSpan w:val="2"/>
                  <w:vMerge w:val="continue"/>
                  <w:shd w:val="clear" w:color="auto" w:fill="auto"/>
                  <w:vAlign w:val="center"/>
                </w:tcPr>
                <w:p>
                  <w:pPr>
                    <w:widowControl/>
                    <w:spacing w:line="240" w:lineRule="exact"/>
                    <w:jc w:val="center"/>
                    <w:rPr>
                      <w:szCs w:val="21"/>
                    </w:rPr>
                  </w:pPr>
                </w:p>
              </w:tc>
              <w:tc>
                <w:tcPr>
                  <w:tcW w:w="1159" w:type="dxa"/>
                  <w:shd w:val="clear" w:color="auto" w:fill="auto"/>
                  <w:vAlign w:val="center"/>
                </w:tcPr>
                <w:p>
                  <w:pPr>
                    <w:widowControl/>
                    <w:spacing w:line="240" w:lineRule="exact"/>
                    <w:jc w:val="center"/>
                    <w:rPr>
                      <w:kern w:val="0"/>
                      <w:szCs w:val="21"/>
                    </w:rPr>
                  </w:pPr>
                  <w:r>
                    <w:rPr>
                      <w:rFonts w:hint="eastAsia"/>
                      <w:kern w:val="0"/>
                      <w:szCs w:val="21"/>
                    </w:rPr>
                    <w:t>东</w:t>
                  </w:r>
                </w:p>
              </w:tc>
              <w:tc>
                <w:tcPr>
                  <w:tcW w:w="1410" w:type="dxa"/>
                  <w:shd w:val="clear" w:color="auto" w:fill="auto"/>
                  <w:vAlign w:val="center"/>
                </w:tcPr>
                <w:p>
                  <w:pPr>
                    <w:widowControl/>
                    <w:spacing w:line="240" w:lineRule="exact"/>
                    <w:jc w:val="center"/>
                    <w:rPr>
                      <w:kern w:val="0"/>
                      <w:szCs w:val="21"/>
                    </w:rPr>
                  </w:pPr>
                  <w:r>
                    <w:rPr>
                      <w:rFonts w:hint="eastAsia"/>
                      <w:kern w:val="0"/>
                      <w:szCs w:val="21"/>
                    </w:rPr>
                    <w:t>南</w:t>
                  </w:r>
                </w:p>
              </w:tc>
              <w:tc>
                <w:tcPr>
                  <w:tcW w:w="1410" w:type="dxa"/>
                  <w:shd w:val="clear" w:color="auto" w:fill="auto"/>
                  <w:vAlign w:val="center"/>
                </w:tcPr>
                <w:p>
                  <w:pPr>
                    <w:widowControl/>
                    <w:spacing w:line="240" w:lineRule="exact"/>
                    <w:jc w:val="center"/>
                    <w:rPr>
                      <w:kern w:val="0"/>
                      <w:szCs w:val="21"/>
                    </w:rPr>
                  </w:pPr>
                  <w:r>
                    <w:rPr>
                      <w:rFonts w:hint="eastAsia"/>
                      <w:kern w:val="0"/>
                      <w:szCs w:val="21"/>
                    </w:rPr>
                    <w:t>西</w:t>
                  </w:r>
                </w:p>
              </w:tc>
              <w:tc>
                <w:tcPr>
                  <w:tcW w:w="1410" w:type="dxa"/>
                  <w:shd w:val="clear" w:color="auto" w:fill="auto"/>
                  <w:vAlign w:val="center"/>
                </w:tcPr>
                <w:p>
                  <w:pPr>
                    <w:widowControl/>
                    <w:spacing w:line="240" w:lineRule="exact"/>
                    <w:jc w:val="center"/>
                    <w:rPr>
                      <w:kern w:val="0"/>
                      <w:szCs w:val="21"/>
                    </w:rPr>
                  </w:pPr>
                  <w:r>
                    <w:rPr>
                      <w:rFonts w:hint="eastAsia"/>
                      <w:kern w:val="0"/>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rFonts w:hint="eastAsia"/>
                      <w:kern w:val="0"/>
                      <w:szCs w:val="21"/>
                    </w:rPr>
                    <w:t>1</w:t>
                  </w:r>
                </w:p>
              </w:tc>
              <w:tc>
                <w:tcPr>
                  <w:tcW w:w="1273" w:type="dxa"/>
                  <w:vMerge w:val="restart"/>
                  <w:shd w:val="clear" w:color="auto" w:fill="auto"/>
                  <w:vAlign w:val="center"/>
                </w:tcPr>
                <w:p>
                  <w:pPr>
                    <w:widowControl/>
                    <w:spacing w:line="240" w:lineRule="exact"/>
                    <w:jc w:val="center"/>
                    <w:rPr>
                      <w:kern w:val="0"/>
                      <w:szCs w:val="21"/>
                    </w:rPr>
                  </w:pPr>
                  <w:r>
                    <w:rPr>
                      <w:rFonts w:hint="eastAsia"/>
                      <w:spacing w:val="-11"/>
                      <w:szCs w:val="21"/>
                    </w:rPr>
                    <w:t>污水处理站</w:t>
                  </w:r>
                </w:p>
              </w:tc>
              <w:tc>
                <w:tcPr>
                  <w:tcW w:w="1134" w:type="dxa"/>
                  <w:shd w:val="clear" w:color="auto" w:fill="auto"/>
                  <w:vAlign w:val="center"/>
                </w:tcPr>
                <w:p>
                  <w:pPr>
                    <w:widowControl/>
                    <w:spacing w:line="240" w:lineRule="exact"/>
                    <w:jc w:val="center"/>
                    <w:rPr>
                      <w:kern w:val="0"/>
                      <w:szCs w:val="21"/>
                    </w:rPr>
                  </w:pPr>
                  <w:r>
                    <w:rPr>
                      <w:szCs w:val="21"/>
                    </w:rPr>
                    <w:t>水泵</w:t>
                  </w:r>
                </w:p>
              </w:tc>
              <w:tc>
                <w:tcPr>
                  <w:tcW w:w="1159" w:type="dxa"/>
                  <w:shd w:val="clear" w:color="auto" w:fill="auto"/>
                  <w:vAlign w:val="center"/>
                </w:tcPr>
                <w:p>
                  <w:pPr>
                    <w:widowControl/>
                    <w:spacing w:line="240" w:lineRule="exact"/>
                    <w:jc w:val="center"/>
                    <w:rPr>
                      <w:kern w:val="0"/>
                      <w:szCs w:val="21"/>
                    </w:rPr>
                  </w:pPr>
                  <w:r>
                    <w:rPr>
                      <w:kern w:val="0"/>
                      <w:szCs w:val="21"/>
                    </w:rPr>
                    <w:t>68</w:t>
                  </w:r>
                </w:p>
              </w:tc>
              <w:tc>
                <w:tcPr>
                  <w:tcW w:w="1410" w:type="dxa"/>
                  <w:shd w:val="clear" w:color="auto" w:fill="auto"/>
                  <w:vAlign w:val="center"/>
                </w:tcPr>
                <w:p>
                  <w:pPr>
                    <w:widowControl/>
                    <w:spacing w:line="240" w:lineRule="exact"/>
                    <w:jc w:val="center"/>
                    <w:rPr>
                      <w:kern w:val="0"/>
                      <w:szCs w:val="21"/>
                    </w:rPr>
                  </w:pPr>
                  <w:r>
                    <w:rPr>
                      <w:kern w:val="0"/>
                      <w:szCs w:val="21"/>
                    </w:rPr>
                    <w:t>20</w:t>
                  </w:r>
                </w:p>
              </w:tc>
              <w:tc>
                <w:tcPr>
                  <w:tcW w:w="1410" w:type="dxa"/>
                  <w:shd w:val="clear" w:color="auto" w:fill="auto"/>
                  <w:vAlign w:val="center"/>
                </w:tcPr>
                <w:p>
                  <w:pPr>
                    <w:widowControl/>
                    <w:spacing w:line="240" w:lineRule="exact"/>
                    <w:jc w:val="center"/>
                    <w:rPr>
                      <w:kern w:val="0"/>
                      <w:szCs w:val="21"/>
                    </w:rPr>
                  </w:pPr>
                  <w:r>
                    <w:rPr>
                      <w:rFonts w:hint="eastAsia"/>
                      <w:kern w:val="0"/>
                      <w:szCs w:val="21"/>
                    </w:rPr>
                    <w:t>1</w:t>
                  </w:r>
                  <w:r>
                    <w:rPr>
                      <w:kern w:val="0"/>
                      <w:szCs w:val="21"/>
                    </w:rPr>
                    <w:t>02</w:t>
                  </w:r>
                </w:p>
              </w:tc>
              <w:tc>
                <w:tcPr>
                  <w:tcW w:w="1410" w:type="dxa"/>
                  <w:shd w:val="clear" w:color="auto" w:fill="auto"/>
                  <w:vAlign w:val="center"/>
                </w:tcPr>
                <w:p>
                  <w:pPr>
                    <w:widowControl/>
                    <w:spacing w:line="240" w:lineRule="exact"/>
                    <w:jc w:val="center"/>
                    <w:rPr>
                      <w:kern w:val="0"/>
                      <w:szCs w:val="21"/>
                    </w:rPr>
                  </w:pPr>
                  <w:r>
                    <w:rPr>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rFonts w:hint="eastAsia"/>
                      <w:kern w:val="0"/>
                      <w:szCs w:val="21"/>
                    </w:rPr>
                    <w:t>2</w:t>
                  </w:r>
                </w:p>
              </w:tc>
              <w:tc>
                <w:tcPr>
                  <w:tcW w:w="1273" w:type="dxa"/>
                  <w:vMerge w:val="continue"/>
                  <w:shd w:val="clear" w:color="auto" w:fill="auto"/>
                  <w:vAlign w:val="center"/>
                </w:tcPr>
                <w:p>
                  <w:pPr>
                    <w:widowControl/>
                    <w:spacing w:line="240" w:lineRule="exact"/>
                    <w:jc w:val="center"/>
                    <w:rPr>
                      <w:spacing w:val="-11"/>
                      <w:szCs w:val="21"/>
                    </w:rPr>
                  </w:pPr>
                </w:p>
              </w:tc>
              <w:tc>
                <w:tcPr>
                  <w:tcW w:w="1134" w:type="dxa"/>
                  <w:shd w:val="clear" w:color="auto" w:fill="auto"/>
                  <w:vAlign w:val="center"/>
                </w:tcPr>
                <w:p>
                  <w:pPr>
                    <w:widowControl/>
                    <w:spacing w:line="240" w:lineRule="exact"/>
                    <w:jc w:val="center"/>
                    <w:rPr>
                      <w:szCs w:val="21"/>
                    </w:rPr>
                  </w:pPr>
                  <w:r>
                    <w:rPr>
                      <w:rFonts w:hint="eastAsia"/>
                      <w:szCs w:val="21"/>
                    </w:rPr>
                    <w:t>提升泵</w:t>
                  </w:r>
                </w:p>
              </w:tc>
              <w:tc>
                <w:tcPr>
                  <w:tcW w:w="1159" w:type="dxa"/>
                  <w:shd w:val="clear" w:color="auto" w:fill="auto"/>
                  <w:vAlign w:val="center"/>
                </w:tcPr>
                <w:p>
                  <w:pPr>
                    <w:widowControl/>
                    <w:spacing w:line="240" w:lineRule="exact"/>
                    <w:jc w:val="center"/>
                    <w:rPr>
                      <w:kern w:val="0"/>
                      <w:szCs w:val="21"/>
                    </w:rPr>
                  </w:pPr>
                  <w:r>
                    <w:rPr>
                      <w:kern w:val="0"/>
                      <w:szCs w:val="21"/>
                    </w:rPr>
                    <w:t>68</w:t>
                  </w:r>
                </w:p>
              </w:tc>
              <w:tc>
                <w:tcPr>
                  <w:tcW w:w="1410" w:type="dxa"/>
                  <w:shd w:val="clear" w:color="auto" w:fill="auto"/>
                  <w:vAlign w:val="center"/>
                </w:tcPr>
                <w:p>
                  <w:pPr>
                    <w:widowControl/>
                    <w:spacing w:line="240" w:lineRule="exact"/>
                    <w:jc w:val="center"/>
                    <w:rPr>
                      <w:kern w:val="0"/>
                      <w:szCs w:val="21"/>
                    </w:rPr>
                  </w:pPr>
                  <w:r>
                    <w:rPr>
                      <w:kern w:val="0"/>
                      <w:szCs w:val="21"/>
                    </w:rPr>
                    <w:t>20</w:t>
                  </w:r>
                </w:p>
              </w:tc>
              <w:tc>
                <w:tcPr>
                  <w:tcW w:w="1410" w:type="dxa"/>
                  <w:shd w:val="clear" w:color="auto" w:fill="auto"/>
                  <w:vAlign w:val="center"/>
                </w:tcPr>
                <w:p>
                  <w:pPr>
                    <w:widowControl/>
                    <w:spacing w:line="240" w:lineRule="exact"/>
                    <w:jc w:val="center"/>
                    <w:rPr>
                      <w:kern w:val="0"/>
                      <w:szCs w:val="21"/>
                    </w:rPr>
                  </w:pPr>
                  <w:r>
                    <w:rPr>
                      <w:rFonts w:hint="eastAsia"/>
                      <w:kern w:val="0"/>
                      <w:szCs w:val="21"/>
                    </w:rPr>
                    <w:t>1</w:t>
                  </w:r>
                  <w:r>
                    <w:rPr>
                      <w:kern w:val="0"/>
                      <w:szCs w:val="21"/>
                    </w:rPr>
                    <w:t>02</w:t>
                  </w:r>
                </w:p>
              </w:tc>
              <w:tc>
                <w:tcPr>
                  <w:tcW w:w="1410" w:type="dxa"/>
                  <w:shd w:val="clear" w:color="auto" w:fill="auto"/>
                  <w:vAlign w:val="center"/>
                </w:tcPr>
                <w:p>
                  <w:pPr>
                    <w:widowControl/>
                    <w:spacing w:line="240" w:lineRule="exact"/>
                    <w:jc w:val="center"/>
                    <w:rPr>
                      <w:kern w:val="0"/>
                      <w:szCs w:val="21"/>
                    </w:rPr>
                  </w:pPr>
                  <w:r>
                    <w:rPr>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kern w:val="0"/>
                      <w:szCs w:val="21"/>
                    </w:rPr>
                    <w:t>3</w:t>
                  </w:r>
                </w:p>
              </w:tc>
              <w:tc>
                <w:tcPr>
                  <w:tcW w:w="1273" w:type="dxa"/>
                  <w:vMerge w:val="continue"/>
                  <w:shd w:val="clear" w:color="auto" w:fill="auto"/>
                  <w:vAlign w:val="center"/>
                </w:tcPr>
                <w:p>
                  <w:pPr>
                    <w:widowControl/>
                    <w:spacing w:line="240" w:lineRule="exact"/>
                    <w:jc w:val="center"/>
                    <w:rPr>
                      <w:kern w:val="0"/>
                      <w:szCs w:val="21"/>
                    </w:rPr>
                  </w:pPr>
                </w:p>
              </w:tc>
              <w:tc>
                <w:tcPr>
                  <w:tcW w:w="1134" w:type="dxa"/>
                  <w:shd w:val="clear" w:color="auto" w:fill="auto"/>
                  <w:vAlign w:val="center"/>
                </w:tcPr>
                <w:p>
                  <w:pPr>
                    <w:widowControl/>
                    <w:spacing w:line="240" w:lineRule="exact"/>
                    <w:jc w:val="center"/>
                    <w:rPr>
                      <w:kern w:val="0"/>
                      <w:szCs w:val="21"/>
                    </w:rPr>
                  </w:pPr>
                  <w:r>
                    <w:rPr>
                      <w:rFonts w:hint="eastAsia"/>
                      <w:szCs w:val="21"/>
                    </w:rPr>
                    <w:t>污泥泵</w:t>
                  </w:r>
                </w:p>
              </w:tc>
              <w:tc>
                <w:tcPr>
                  <w:tcW w:w="1159" w:type="dxa"/>
                  <w:shd w:val="clear" w:color="auto" w:fill="auto"/>
                  <w:vAlign w:val="center"/>
                </w:tcPr>
                <w:p>
                  <w:pPr>
                    <w:widowControl/>
                    <w:spacing w:line="240" w:lineRule="exact"/>
                    <w:jc w:val="center"/>
                    <w:rPr>
                      <w:kern w:val="0"/>
                      <w:szCs w:val="21"/>
                    </w:rPr>
                  </w:pPr>
                  <w:r>
                    <w:rPr>
                      <w:kern w:val="0"/>
                      <w:szCs w:val="21"/>
                    </w:rPr>
                    <w:t>68</w:t>
                  </w:r>
                </w:p>
              </w:tc>
              <w:tc>
                <w:tcPr>
                  <w:tcW w:w="1410" w:type="dxa"/>
                  <w:shd w:val="clear" w:color="auto" w:fill="auto"/>
                  <w:vAlign w:val="center"/>
                </w:tcPr>
                <w:p>
                  <w:pPr>
                    <w:widowControl/>
                    <w:spacing w:line="240" w:lineRule="exact"/>
                    <w:jc w:val="center"/>
                    <w:rPr>
                      <w:kern w:val="0"/>
                      <w:szCs w:val="21"/>
                    </w:rPr>
                  </w:pPr>
                  <w:r>
                    <w:rPr>
                      <w:kern w:val="0"/>
                      <w:szCs w:val="21"/>
                    </w:rPr>
                    <w:t>20</w:t>
                  </w:r>
                </w:p>
              </w:tc>
              <w:tc>
                <w:tcPr>
                  <w:tcW w:w="1410" w:type="dxa"/>
                  <w:shd w:val="clear" w:color="auto" w:fill="auto"/>
                  <w:vAlign w:val="center"/>
                </w:tcPr>
                <w:p>
                  <w:pPr>
                    <w:widowControl/>
                    <w:spacing w:line="240" w:lineRule="exact"/>
                    <w:jc w:val="center"/>
                    <w:rPr>
                      <w:kern w:val="0"/>
                      <w:szCs w:val="21"/>
                    </w:rPr>
                  </w:pPr>
                  <w:r>
                    <w:rPr>
                      <w:rFonts w:hint="eastAsia"/>
                      <w:kern w:val="0"/>
                      <w:szCs w:val="21"/>
                    </w:rPr>
                    <w:t>1</w:t>
                  </w:r>
                  <w:r>
                    <w:rPr>
                      <w:kern w:val="0"/>
                      <w:szCs w:val="21"/>
                    </w:rPr>
                    <w:t>02</w:t>
                  </w:r>
                </w:p>
              </w:tc>
              <w:tc>
                <w:tcPr>
                  <w:tcW w:w="1410" w:type="dxa"/>
                  <w:shd w:val="clear" w:color="auto" w:fill="auto"/>
                  <w:vAlign w:val="center"/>
                </w:tcPr>
                <w:p>
                  <w:pPr>
                    <w:widowControl/>
                    <w:spacing w:line="240" w:lineRule="exact"/>
                    <w:jc w:val="center"/>
                    <w:rPr>
                      <w:kern w:val="0"/>
                      <w:szCs w:val="21"/>
                    </w:rPr>
                  </w:pPr>
                  <w:r>
                    <w:rPr>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kern w:val="0"/>
                      <w:szCs w:val="21"/>
                    </w:rPr>
                    <w:t>4</w:t>
                  </w:r>
                </w:p>
              </w:tc>
              <w:tc>
                <w:tcPr>
                  <w:tcW w:w="1273" w:type="dxa"/>
                  <w:vMerge w:val="restart"/>
                  <w:shd w:val="clear" w:color="auto" w:fill="auto"/>
                  <w:vAlign w:val="center"/>
                </w:tcPr>
                <w:p>
                  <w:pPr>
                    <w:widowControl/>
                    <w:spacing w:line="240" w:lineRule="exact"/>
                    <w:jc w:val="center"/>
                    <w:rPr>
                      <w:kern w:val="0"/>
                      <w:szCs w:val="21"/>
                    </w:rPr>
                  </w:pPr>
                  <w:r>
                    <w:rPr>
                      <w:rFonts w:hint="eastAsia"/>
                      <w:szCs w:val="21"/>
                    </w:rPr>
                    <w:t>锅炉房</w:t>
                  </w:r>
                </w:p>
              </w:tc>
              <w:tc>
                <w:tcPr>
                  <w:tcW w:w="1134" w:type="dxa"/>
                  <w:shd w:val="clear" w:color="auto" w:fill="auto"/>
                  <w:vAlign w:val="center"/>
                </w:tcPr>
                <w:p>
                  <w:pPr>
                    <w:widowControl/>
                    <w:spacing w:line="240" w:lineRule="exact"/>
                    <w:jc w:val="center"/>
                    <w:rPr>
                      <w:kern w:val="0"/>
                      <w:szCs w:val="21"/>
                    </w:rPr>
                  </w:pPr>
                  <w:r>
                    <w:rPr>
                      <w:rFonts w:hint="eastAsia"/>
                      <w:szCs w:val="21"/>
                    </w:rPr>
                    <w:t>风机</w:t>
                  </w:r>
                </w:p>
              </w:tc>
              <w:tc>
                <w:tcPr>
                  <w:tcW w:w="1159" w:type="dxa"/>
                  <w:shd w:val="clear" w:color="auto" w:fill="auto"/>
                  <w:vAlign w:val="center"/>
                </w:tcPr>
                <w:p>
                  <w:pPr>
                    <w:widowControl/>
                    <w:spacing w:line="240" w:lineRule="exact"/>
                    <w:jc w:val="center"/>
                    <w:rPr>
                      <w:kern w:val="0"/>
                      <w:szCs w:val="21"/>
                    </w:rPr>
                  </w:pPr>
                  <w:r>
                    <w:rPr>
                      <w:kern w:val="0"/>
                      <w:szCs w:val="21"/>
                    </w:rPr>
                    <w:t>24</w:t>
                  </w:r>
                </w:p>
              </w:tc>
              <w:tc>
                <w:tcPr>
                  <w:tcW w:w="1410" w:type="dxa"/>
                  <w:shd w:val="clear" w:color="auto" w:fill="auto"/>
                  <w:vAlign w:val="center"/>
                </w:tcPr>
                <w:p>
                  <w:pPr>
                    <w:widowControl/>
                    <w:spacing w:line="240" w:lineRule="exact"/>
                    <w:jc w:val="center"/>
                    <w:rPr>
                      <w:kern w:val="0"/>
                      <w:szCs w:val="21"/>
                    </w:rPr>
                  </w:pPr>
                  <w:r>
                    <w:rPr>
                      <w:kern w:val="0"/>
                      <w:szCs w:val="21"/>
                    </w:rPr>
                    <w:t>22</w:t>
                  </w:r>
                </w:p>
              </w:tc>
              <w:tc>
                <w:tcPr>
                  <w:tcW w:w="1410" w:type="dxa"/>
                  <w:shd w:val="clear" w:color="auto" w:fill="auto"/>
                  <w:vAlign w:val="center"/>
                </w:tcPr>
                <w:p>
                  <w:pPr>
                    <w:widowControl/>
                    <w:spacing w:line="240" w:lineRule="exact"/>
                    <w:jc w:val="center"/>
                    <w:rPr>
                      <w:kern w:val="0"/>
                      <w:szCs w:val="21"/>
                    </w:rPr>
                  </w:pPr>
                  <w:r>
                    <w:rPr>
                      <w:rFonts w:hint="eastAsia"/>
                      <w:kern w:val="0"/>
                      <w:szCs w:val="21"/>
                    </w:rPr>
                    <w:t>1</w:t>
                  </w:r>
                  <w:r>
                    <w:rPr>
                      <w:kern w:val="0"/>
                      <w:szCs w:val="21"/>
                    </w:rPr>
                    <w:t>46</w:t>
                  </w:r>
                </w:p>
              </w:tc>
              <w:tc>
                <w:tcPr>
                  <w:tcW w:w="1410" w:type="dxa"/>
                  <w:shd w:val="clear" w:color="auto" w:fill="auto"/>
                  <w:vAlign w:val="center"/>
                </w:tcPr>
                <w:p>
                  <w:pPr>
                    <w:widowControl/>
                    <w:spacing w:line="240" w:lineRule="exact"/>
                    <w:jc w:val="center"/>
                    <w:rPr>
                      <w:kern w:val="0"/>
                      <w:szCs w:val="21"/>
                    </w:rPr>
                  </w:pPr>
                  <w:r>
                    <w:rPr>
                      <w:kern w:val="0"/>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kern w:val="0"/>
                      <w:szCs w:val="21"/>
                    </w:rPr>
                    <w:t>5</w:t>
                  </w:r>
                </w:p>
              </w:tc>
              <w:tc>
                <w:tcPr>
                  <w:tcW w:w="1273" w:type="dxa"/>
                  <w:vMerge w:val="continue"/>
                  <w:shd w:val="clear" w:color="auto" w:fill="auto"/>
                  <w:vAlign w:val="center"/>
                </w:tcPr>
                <w:p>
                  <w:pPr>
                    <w:widowControl/>
                    <w:spacing w:line="240" w:lineRule="exact"/>
                    <w:jc w:val="center"/>
                    <w:rPr>
                      <w:kern w:val="0"/>
                      <w:szCs w:val="21"/>
                    </w:rPr>
                  </w:pPr>
                </w:p>
              </w:tc>
              <w:tc>
                <w:tcPr>
                  <w:tcW w:w="1134" w:type="dxa"/>
                  <w:shd w:val="clear" w:color="auto" w:fill="auto"/>
                  <w:vAlign w:val="center"/>
                </w:tcPr>
                <w:p>
                  <w:pPr>
                    <w:widowControl/>
                    <w:spacing w:line="240" w:lineRule="exact"/>
                    <w:jc w:val="center"/>
                    <w:rPr>
                      <w:kern w:val="0"/>
                      <w:szCs w:val="21"/>
                    </w:rPr>
                  </w:pPr>
                  <w:r>
                    <w:rPr>
                      <w:rFonts w:hint="eastAsia"/>
                      <w:szCs w:val="21"/>
                    </w:rPr>
                    <w:t>水泵</w:t>
                  </w:r>
                </w:p>
              </w:tc>
              <w:tc>
                <w:tcPr>
                  <w:tcW w:w="1159" w:type="dxa"/>
                  <w:shd w:val="clear" w:color="auto" w:fill="auto"/>
                  <w:vAlign w:val="center"/>
                </w:tcPr>
                <w:p>
                  <w:pPr>
                    <w:widowControl/>
                    <w:spacing w:line="240" w:lineRule="exact"/>
                    <w:jc w:val="center"/>
                    <w:rPr>
                      <w:kern w:val="0"/>
                      <w:szCs w:val="21"/>
                    </w:rPr>
                  </w:pPr>
                  <w:r>
                    <w:rPr>
                      <w:kern w:val="0"/>
                      <w:szCs w:val="21"/>
                    </w:rPr>
                    <w:t>224</w:t>
                  </w:r>
                </w:p>
              </w:tc>
              <w:tc>
                <w:tcPr>
                  <w:tcW w:w="1410" w:type="dxa"/>
                  <w:shd w:val="clear" w:color="auto" w:fill="auto"/>
                  <w:vAlign w:val="center"/>
                </w:tcPr>
                <w:p>
                  <w:pPr>
                    <w:widowControl/>
                    <w:spacing w:line="240" w:lineRule="exact"/>
                    <w:jc w:val="center"/>
                    <w:rPr>
                      <w:kern w:val="0"/>
                      <w:szCs w:val="21"/>
                    </w:rPr>
                  </w:pPr>
                  <w:r>
                    <w:rPr>
                      <w:kern w:val="0"/>
                      <w:szCs w:val="21"/>
                    </w:rPr>
                    <w:t>22</w:t>
                  </w:r>
                </w:p>
              </w:tc>
              <w:tc>
                <w:tcPr>
                  <w:tcW w:w="1410" w:type="dxa"/>
                  <w:shd w:val="clear" w:color="auto" w:fill="auto"/>
                  <w:vAlign w:val="center"/>
                </w:tcPr>
                <w:p>
                  <w:pPr>
                    <w:widowControl/>
                    <w:spacing w:line="240" w:lineRule="exact"/>
                    <w:jc w:val="center"/>
                    <w:rPr>
                      <w:kern w:val="0"/>
                      <w:szCs w:val="21"/>
                    </w:rPr>
                  </w:pPr>
                  <w:r>
                    <w:rPr>
                      <w:rFonts w:hint="eastAsia"/>
                      <w:kern w:val="0"/>
                      <w:szCs w:val="21"/>
                    </w:rPr>
                    <w:t>1</w:t>
                  </w:r>
                  <w:r>
                    <w:rPr>
                      <w:kern w:val="0"/>
                      <w:szCs w:val="21"/>
                    </w:rPr>
                    <w:t>46</w:t>
                  </w:r>
                </w:p>
              </w:tc>
              <w:tc>
                <w:tcPr>
                  <w:tcW w:w="1410" w:type="dxa"/>
                  <w:shd w:val="clear" w:color="auto" w:fill="auto"/>
                  <w:vAlign w:val="center"/>
                </w:tcPr>
                <w:p>
                  <w:pPr>
                    <w:widowControl/>
                    <w:spacing w:line="240" w:lineRule="exact"/>
                    <w:jc w:val="center"/>
                    <w:rPr>
                      <w:kern w:val="0"/>
                      <w:szCs w:val="21"/>
                    </w:rPr>
                  </w:pPr>
                  <w:r>
                    <w:rPr>
                      <w:kern w:val="0"/>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rFonts w:hint="eastAsia"/>
                      <w:kern w:val="0"/>
                      <w:szCs w:val="21"/>
                    </w:rPr>
                    <w:t>6</w:t>
                  </w:r>
                </w:p>
              </w:tc>
              <w:tc>
                <w:tcPr>
                  <w:tcW w:w="1273" w:type="dxa"/>
                  <w:shd w:val="clear" w:color="auto" w:fill="auto"/>
                  <w:vAlign w:val="center"/>
                </w:tcPr>
                <w:p>
                  <w:pPr>
                    <w:widowControl/>
                    <w:spacing w:line="240" w:lineRule="exact"/>
                    <w:jc w:val="center"/>
                    <w:rPr>
                      <w:kern w:val="0"/>
                      <w:szCs w:val="21"/>
                    </w:rPr>
                  </w:pPr>
                  <w:r>
                    <w:rPr>
                      <w:rFonts w:hint="eastAsia"/>
                      <w:kern w:val="0"/>
                      <w:szCs w:val="21"/>
                    </w:rPr>
                    <w:t>食堂</w:t>
                  </w:r>
                </w:p>
              </w:tc>
              <w:tc>
                <w:tcPr>
                  <w:tcW w:w="1134" w:type="dxa"/>
                  <w:shd w:val="clear" w:color="auto" w:fill="auto"/>
                  <w:vAlign w:val="center"/>
                </w:tcPr>
                <w:p>
                  <w:pPr>
                    <w:widowControl/>
                    <w:spacing w:line="240" w:lineRule="exact"/>
                    <w:jc w:val="center"/>
                    <w:rPr>
                      <w:szCs w:val="21"/>
                    </w:rPr>
                  </w:pPr>
                  <w:r>
                    <w:rPr>
                      <w:rFonts w:hint="eastAsia"/>
                      <w:szCs w:val="21"/>
                    </w:rPr>
                    <w:t>油烟净化器</w:t>
                  </w:r>
                </w:p>
              </w:tc>
              <w:tc>
                <w:tcPr>
                  <w:tcW w:w="1159" w:type="dxa"/>
                  <w:shd w:val="clear" w:color="auto" w:fill="auto"/>
                  <w:vAlign w:val="center"/>
                </w:tcPr>
                <w:p>
                  <w:pPr>
                    <w:widowControl/>
                    <w:spacing w:line="240" w:lineRule="exact"/>
                    <w:jc w:val="center"/>
                    <w:rPr>
                      <w:kern w:val="0"/>
                      <w:szCs w:val="21"/>
                    </w:rPr>
                  </w:pPr>
                  <w:r>
                    <w:rPr>
                      <w:kern w:val="0"/>
                      <w:szCs w:val="21"/>
                    </w:rPr>
                    <w:t>60</w:t>
                  </w:r>
                </w:p>
              </w:tc>
              <w:tc>
                <w:tcPr>
                  <w:tcW w:w="1410" w:type="dxa"/>
                  <w:shd w:val="clear" w:color="auto" w:fill="auto"/>
                  <w:vAlign w:val="center"/>
                </w:tcPr>
                <w:p>
                  <w:pPr>
                    <w:widowControl/>
                    <w:spacing w:line="240" w:lineRule="exact"/>
                    <w:jc w:val="center"/>
                    <w:rPr>
                      <w:kern w:val="0"/>
                      <w:szCs w:val="21"/>
                    </w:rPr>
                  </w:pPr>
                  <w:r>
                    <w:rPr>
                      <w:kern w:val="0"/>
                      <w:szCs w:val="21"/>
                    </w:rPr>
                    <w:t>25</w:t>
                  </w:r>
                </w:p>
              </w:tc>
              <w:tc>
                <w:tcPr>
                  <w:tcW w:w="1410" w:type="dxa"/>
                  <w:shd w:val="clear" w:color="auto" w:fill="auto"/>
                  <w:vAlign w:val="center"/>
                </w:tcPr>
                <w:p>
                  <w:pPr>
                    <w:widowControl/>
                    <w:spacing w:line="240" w:lineRule="exact"/>
                    <w:jc w:val="center"/>
                    <w:rPr>
                      <w:kern w:val="0"/>
                      <w:szCs w:val="21"/>
                    </w:rPr>
                  </w:pPr>
                  <w:r>
                    <w:rPr>
                      <w:kern w:val="0"/>
                      <w:szCs w:val="21"/>
                    </w:rPr>
                    <w:t>110</w:t>
                  </w:r>
                </w:p>
              </w:tc>
              <w:tc>
                <w:tcPr>
                  <w:tcW w:w="1410" w:type="dxa"/>
                  <w:shd w:val="clear" w:color="auto" w:fill="auto"/>
                  <w:vAlign w:val="center"/>
                </w:tcPr>
                <w:p>
                  <w:pPr>
                    <w:widowControl/>
                    <w:spacing w:line="240" w:lineRule="exact"/>
                    <w:jc w:val="center"/>
                    <w:rPr>
                      <w:kern w:val="0"/>
                      <w:szCs w:val="21"/>
                    </w:rPr>
                  </w:pPr>
                  <w:r>
                    <w:rPr>
                      <w:rFonts w:hint="eastAsia"/>
                      <w:kern w:val="0"/>
                      <w:szCs w:val="21"/>
                    </w:rPr>
                    <w:t>3</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shd w:val="clear" w:color="auto" w:fill="auto"/>
                  <w:vAlign w:val="center"/>
                </w:tcPr>
                <w:p>
                  <w:pPr>
                    <w:widowControl/>
                    <w:spacing w:line="240" w:lineRule="exact"/>
                    <w:jc w:val="center"/>
                    <w:rPr>
                      <w:kern w:val="0"/>
                      <w:szCs w:val="21"/>
                    </w:rPr>
                  </w:pPr>
                  <w:r>
                    <w:rPr>
                      <w:rFonts w:hint="eastAsia"/>
                      <w:kern w:val="0"/>
                      <w:szCs w:val="21"/>
                    </w:rPr>
                    <w:t>7</w:t>
                  </w:r>
                </w:p>
              </w:tc>
              <w:tc>
                <w:tcPr>
                  <w:tcW w:w="1273" w:type="dxa"/>
                  <w:shd w:val="clear" w:color="auto" w:fill="auto"/>
                  <w:vAlign w:val="center"/>
                </w:tcPr>
                <w:p>
                  <w:pPr>
                    <w:widowControl/>
                    <w:spacing w:line="240" w:lineRule="exact"/>
                    <w:jc w:val="center"/>
                    <w:rPr>
                      <w:kern w:val="0"/>
                      <w:szCs w:val="21"/>
                    </w:rPr>
                  </w:pPr>
                  <w:r>
                    <w:rPr>
                      <w:rFonts w:hint="eastAsia"/>
                      <w:szCs w:val="21"/>
                    </w:rPr>
                    <w:t>空调机房</w:t>
                  </w:r>
                </w:p>
              </w:tc>
              <w:tc>
                <w:tcPr>
                  <w:tcW w:w="1134" w:type="dxa"/>
                  <w:shd w:val="clear" w:color="auto" w:fill="auto"/>
                  <w:vAlign w:val="center"/>
                </w:tcPr>
                <w:p>
                  <w:pPr>
                    <w:widowControl/>
                    <w:spacing w:line="240" w:lineRule="exact"/>
                    <w:jc w:val="center"/>
                    <w:rPr>
                      <w:szCs w:val="21"/>
                    </w:rPr>
                  </w:pPr>
                  <w:r>
                    <w:rPr>
                      <w:rFonts w:hint="eastAsia"/>
                      <w:szCs w:val="21"/>
                    </w:rPr>
                    <w:t>空调机组</w:t>
                  </w:r>
                </w:p>
              </w:tc>
              <w:tc>
                <w:tcPr>
                  <w:tcW w:w="1159" w:type="dxa"/>
                  <w:shd w:val="clear" w:color="auto" w:fill="auto"/>
                  <w:vAlign w:val="center"/>
                </w:tcPr>
                <w:p>
                  <w:pPr>
                    <w:widowControl/>
                    <w:spacing w:line="240" w:lineRule="exact"/>
                    <w:jc w:val="center"/>
                    <w:rPr>
                      <w:kern w:val="0"/>
                      <w:szCs w:val="21"/>
                    </w:rPr>
                  </w:pPr>
                  <w:r>
                    <w:rPr>
                      <w:kern w:val="0"/>
                      <w:szCs w:val="21"/>
                    </w:rPr>
                    <w:t>100</w:t>
                  </w:r>
                </w:p>
              </w:tc>
              <w:tc>
                <w:tcPr>
                  <w:tcW w:w="1410" w:type="dxa"/>
                  <w:shd w:val="clear" w:color="auto" w:fill="auto"/>
                  <w:vAlign w:val="center"/>
                </w:tcPr>
                <w:p>
                  <w:pPr>
                    <w:widowControl/>
                    <w:spacing w:line="240" w:lineRule="exact"/>
                    <w:jc w:val="center"/>
                    <w:rPr>
                      <w:kern w:val="0"/>
                      <w:szCs w:val="21"/>
                    </w:rPr>
                  </w:pPr>
                  <w:r>
                    <w:rPr>
                      <w:rFonts w:hint="eastAsia"/>
                      <w:kern w:val="0"/>
                      <w:szCs w:val="21"/>
                    </w:rPr>
                    <w:t>3</w:t>
                  </w:r>
                  <w:r>
                    <w:rPr>
                      <w:kern w:val="0"/>
                      <w:szCs w:val="21"/>
                    </w:rPr>
                    <w:t>0</w:t>
                  </w:r>
                </w:p>
              </w:tc>
              <w:tc>
                <w:tcPr>
                  <w:tcW w:w="1410" w:type="dxa"/>
                  <w:shd w:val="clear" w:color="auto" w:fill="auto"/>
                  <w:vAlign w:val="center"/>
                </w:tcPr>
                <w:p>
                  <w:pPr>
                    <w:widowControl/>
                    <w:spacing w:line="240" w:lineRule="exact"/>
                    <w:jc w:val="center"/>
                    <w:rPr>
                      <w:kern w:val="0"/>
                      <w:szCs w:val="21"/>
                    </w:rPr>
                  </w:pPr>
                  <w:r>
                    <w:rPr>
                      <w:rFonts w:hint="eastAsia"/>
                      <w:kern w:val="0"/>
                      <w:szCs w:val="21"/>
                    </w:rPr>
                    <w:t>7</w:t>
                  </w:r>
                  <w:r>
                    <w:rPr>
                      <w:kern w:val="0"/>
                      <w:szCs w:val="21"/>
                    </w:rPr>
                    <w:t>0</w:t>
                  </w:r>
                </w:p>
              </w:tc>
              <w:tc>
                <w:tcPr>
                  <w:tcW w:w="1410" w:type="dxa"/>
                  <w:shd w:val="clear" w:color="auto" w:fill="auto"/>
                  <w:vAlign w:val="center"/>
                </w:tcPr>
                <w:p>
                  <w:pPr>
                    <w:widowControl/>
                    <w:spacing w:line="240" w:lineRule="exact"/>
                    <w:jc w:val="center"/>
                    <w:rPr>
                      <w:kern w:val="0"/>
                      <w:szCs w:val="21"/>
                    </w:rPr>
                  </w:pPr>
                  <w:r>
                    <w:rPr>
                      <w:rFonts w:hint="eastAsia"/>
                      <w:kern w:val="0"/>
                      <w:szCs w:val="21"/>
                    </w:rPr>
                    <w:t>3</w:t>
                  </w:r>
                  <w:r>
                    <w:rPr>
                      <w:kern w:val="0"/>
                      <w:szCs w:val="21"/>
                    </w:rPr>
                    <w:t>0</w:t>
                  </w:r>
                </w:p>
              </w:tc>
            </w:tr>
          </w:tbl>
          <w:p>
            <w:pPr>
              <w:widowControl/>
              <w:spacing w:before="120" w:beforeLines="50" w:line="360" w:lineRule="auto"/>
              <w:ind w:firstLine="480" w:firstLineChars="200"/>
              <w:rPr>
                <w:kern w:val="0"/>
                <w:sz w:val="24"/>
              </w:rPr>
            </w:pPr>
            <w:r>
              <w:rPr>
                <w:rFonts w:hint="eastAsia"/>
                <w:kern w:val="0"/>
                <w:sz w:val="24"/>
              </w:rPr>
              <w:t>（2）预测模式</w:t>
            </w:r>
          </w:p>
          <w:p>
            <w:pPr>
              <w:adjustRightInd w:val="0"/>
              <w:snapToGrid w:val="0"/>
              <w:spacing w:line="360" w:lineRule="auto"/>
              <w:ind w:firstLine="480" w:firstLineChars="200"/>
              <w:rPr>
                <w:bCs/>
                <w:sz w:val="24"/>
              </w:rPr>
            </w:pPr>
            <w:r>
              <w:rPr>
                <w:bCs/>
                <w:sz w:val="24"/>
              </w:rPr>
              <w:t>根据《环境影响评价技术导则 声环境》（HJ 2.4-2021）</w:t>
            </w:r>
            <w:r>
              <w:rPr>
                <w:rFonts w:hint="eastAsia"/>
                <w:bCs/>
                <w:sz w:val="24"/>
              </w:rPr>
              <w:t>，本项目</w:t>
            </w:r>
            <w:r>
              <w:rPr>
                <w:kern w:val="0"/>
                <w:sz w:val="24"/>
              </w:rPr>
              <w:t>噪声预测模式</w:t>
            </w:r>
            <w:r>
              <w:rPr>
                <w:rFonts w:hint="eastAsia"/>
                <w:bCs/>
                <w:sz w:val="24"/>
              </w:rPr>
              <w:t>如下：</w:t>
            </w:r>
          </w:p>
          <w:p>
            <w:pPr>
              <w:adjustRightInd w:val="0"/>
              <w:snapToGrid w:val="0"/>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bCs/>
                <w:sz w:val="24"/>
              </w:rPr>
              <w:t>室外</w:t>
            </w:r>
            <w:r>
              <w:rPr>
                <w:bCs/>
                <w:sz w:val="24"/>
              </w:rPr>
              <w:t>声源</w:t>
            </w:r>
          </w:p>
          <w:p>
            <w:pPr>
              <w:adjustRightInd w:val="0"/>
              <w:snapToGrid w:val="0"/>
              <w:spacing w:line="360" w:lineRule="auto"/>
              <w:ind w:firstLine="480" w:firstLineChars="200"/>
              <w:rPr>
                <w:bCs/>
                <w:sz w:val="24"/>
              </w:rPr>
            </w:pPr>
            <w:r>
              <w:rPr>
                <w:rFonts w:hint="eastAsia" w:ascii="宋体" w:cs="宋体"/>
                <w:kern w:val="0"/>
                <w:sz w:val="24"/>
              </w:rPr>
              <w:t>室外点声源对预测点的噪声声压级影响值（</w:t>
            </w:r>
            <w:r>
              <w:rPr>
                <w:rFonts w:ascii="TimesNewRomanPSMT" w:hAnsi="TimesNewRomanPSMT" w:cs="TimesNewRomanPSMT"/>
                <w:kern w:val="0"/>
                <w:sz w:val="24"/>
              </w:rPr>
              <w:t>dB(A)</w:t>
            </w:r>
            <w:r>
              <w:rPr>
                <w:rFonts w:hint="eastAsia" w:ascii="宋体" w:cs="宋体"/>
                <w:kern w:val="0"/>
                <w:sz w:val="24"/>
              </w:rPr>
              <w:t>）为：</w:t>
            </w:r>
          </w:p>
          <w:p>
            <w:pPr>
              <w:adjustRightInd w:val="0"/>
              <w:snapToGrid w:val="0"/>
              <w:spacing w:line="360" w:lineRule="auto"/>
              <w:ind w:firstLine="480" w:firstLineChars="200"/>
              <w:jc w:val="center"/>
              <w:rPr>
                <w:bCs/>
                <w:sz w:val="24"/>
              </w:rPr>
            </w:pPr>
            <m:oMathPara>
              <m:oMath>
                <m:sSub>
                  <m:sSubPr>
                    <m:ctrlPr>
                      <w:rPr>
                        <w:rFonts w:ascii="Cambria Math" w:hAnsi="Cambria Math"/>
                        <w:bCs/>
                        <w:sz w:val="24"/>
                      </w:rPr>
                    </m:ctrlPr>
                  </m:sSubPr>
                  <m:e>
                    <m:r>
                      <m:rPr/>
                      <w:rPr>
                        <w:rFonts w:ascii="Cambria Math" w:hAnsi="Cambria Math"/>
                        <w:sz w:val="24"/>
                      </w:rPr>
                      <m:t>L</m:t>
                    </m:r>
                    <m:ctrlPr>
                      <w:rPr>
                        <w:rFonts w:ascii="Cambria Math" w:hAnsi="Cambria Math"/>
                        <w:bCs/>
                        <w:sz w:val="24"/>
                      </w:rPr>
                    </m:ctrlPr>
                  </m:e>
                  <m:sub>
                    <m:r>
                      <m:rPr/>
                      <w:rPr>
                        <w:rFonts w:ascii="Cambria Math" w:hAnsi="Cambria Math"/>
                        <w:sz w:val="24"/>
                      </w:rPr>
                      <m:t>P</m:t>
                    </m:r>
                    <m:ctrlPr>
                      <w:rPr>
                        <w:rFonts w:ascii="Cambria Math" w:hAnsi="Cambria Math"/>
                        <w:bCs/>
                        <w:sz w:val="24"/>
                      </w:rPr>
                    </m:ctrlPr>
                  </m:sub>
                </m:sSub>
                <m:d>
                  <m:dPr>
                    <m:ctrlPr>
                      <w:rPr>
                        <w:rFonts w:ascii="Cambria Math" w:hAnsi="Cambria Math"/>
                        <w:bCs/>
                        <w:i/>
                        <w:sz w:val="24"/>
                      </w:rPr>
                    </m:ctrlPr>
                  </m:dPr>
                  <m:e>
                    <m:r>
                      <m:rPr/>
                      <w:rPr>
                        <w:rFonts w:ascii="Cambria Math" w:hAnsi="Cambria Math"/>
                        <w:sz w:val="24"/>
                      </w:rPr>
                      <m:t>r</m:t>
                    </m:r>
                    <m:ctrlPr>
                      <w:rPr>
                        <w:rFonts w:ascii="Cambria Math" w:hAnsi="Cambria Math"/>
                        <w:bCs/>
                        <w:i/>
                        <w:sz w:val="24"/>
                      </w:rPr>
                    </m:ctrlPr>
                  </m:e>
                </m:d>
                <m:r>
                  <m:rPr/>
                  <w:rPr>
                    <w:rFonts w:ascii="Cambria Math" w:hAnsi="Cambria Math"/>
                    <w:sz w:val="24"/>
                  </w:rPr>
                  <m:t>=</m:t>
                </m:r>
                <m:sSub>
                  <m:sSubPr>
                    <m:ctrlPr>
                      <w:rPr>
                        <w:rFonts w:ascii="Cambria Math" w:hAnsi="Cambria Math"/>
                        <w:bCs/>
                        <w:i/>
                        <w:sz w:val="24"/>
                      </w:rPr>
                    </m:ctrlPr>
                  </m:sSubPr>
                  <m:e>
                    <m:r>
                      <m:rPr/>
                      <w:rPr>
                        <w:rFonts w:ascii="Cambria Math" w:hAnsi="Cambria Math"/>
                        <w:sz w:val="24"/>
                      </w:rPr>
                      <m:t>L</m:t>
                    </m:r>
                    <m:ctrlPr>
                      <w:rPr>
                        <w:rFonts w:ascii="Cambria Math" w:hAnsi="Cambria Math"/>
                        <w:bCs/>
                        <w:i/>
                        <w:sz w:val="24"/>
                      </w:rPr>
                    </m:ctrlPr>
                  </m:e>
                  <m:sub>
                    <m:r>
                      <m:rPr/>
                      <w:rPr>
                        <w:rFonts w:ascii="Cambria Math" w:hAnsi="Cambria Math"/>
                        <w:sz w:val="24"/>
                      </w:rPr>
                      <m:t>P0</m:t>
                    </m:r>
                    <m:ctrlPr>
                      <w:rPr>
                        <w:rFonts w:ascii="Cambria Math" w:hAnsi="Cambria Math"/>
                        <w:bCs/>
                        <w:i/>
                        <w:sz w:val="24"/>
                      </w:rPr>
                    </m:ctrlPr>
                  </m:sub>
                </m:sSub>
                <m:r>
                  <m:rPr/>
                  <w:rPr>
                    <w:rFonts w:ascii="Cambria Math" w:hAnsi="Cambria Math"/>
                    <w:sz w:val="24"/>
                  </w:rPr>
                  <m:t>−20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r</m:t>
                        </m:r>
                        <m:ctrlPr>
                          <w:rPr>
                            <w:rFonts w:ascii="Cambria Math" w:hAnsi="Cambria Math"/>
                            <w:bCs/>
                            <w:i/>
                            <w:sz w:val="24"/>
                          </w:rPr>
                        </m:ctrlPr>
                      </m:num>
                      <m:den>
                        <m:sSub>
                          <m:sSubPr>
                            <m:ctrlPr>
                              <w:rPr>
                                <w:rFonts w:ascii="Cambria Math" w:hAnsi="Cambria Math"/>
                                <w:bCs/>
                                <w:i/>
                                <w:sz w:val="24"/>
                              </w:rPr>
                            </m:ctrlPr>
                          </m:sSubPr>
                          <m:e>
                            <m:r>
                              <m:rPr/>
                              <w:rPr>
                                <w:rFonts w:ascii="Cambria Math" w:hAnsi="Cambria Math"/>
                                <w:sz w:val="24"/>
                              </w:rPr>
                              <m:t>r</m:t>
                            </m:r>
                            <m:ctrlPr>
                              <w:rPr>
                                <w:rFonts w:ascii="Cambria Math" w:hAnsi="Cambria Math"/>
                                <w:bCs/>
                                <w:i/>
                                <w:sz w:val="24"/>
                              </w:rPr>
                            </m:ctrlPr>
                          </m:e>
                          <m:sub>
                            <m:r>
                              <m:rPr/>
                              <w:rPr>
                                <w:rFonts w:ascii="Cambria Math" w:hAnsi="Cambria Math"/>
                                <w:sz w:val="24"/>
                              </w:rPr>
                              <m:t>0</m:t>
                            </m:r>
                            <m:ctrlPr>
                              <w:rPr>
                                <w:rFonts w:ascii="Cambria Math" w:hAnsi="Cambria Math"/>
                                <w:bCs/>
                                <w:i/>
                                <w:sz w:val="24"/>
                              </w:rPr>
                            </m:ctrlPr>
                          </m:sub>
                        </m:sSub>
                        <m:ctrlPr>
                          <w:rPr>
                            <w:rFonts w:ascii="Cambria Math" w:hAnsi="Cambria Math"/>
                            <w:bCs/>
                            <w:i/>
                            <w:sz w:val="24"/>
                          </w:rPr>
                        </m:ctrlPr>
                      </m:den>
                    </m:f>
                    <m:ctrlPr>
                      <w:rPr>
                        <w:rFonts w:ascii="Cambria Math" w:hAnsi="Cambria Math"/>
                        <w:bCs/>
                        <w:i/>
                        <w:sz w:val="24"/>
                      </w:rPr>
                    </m:ctrlPr>
                  </m:e>
                </m:func>
              </m:oMath>
            </m:oMathPara>
          </w:p>
          <w:p>
            <w:pPr>
              <w:adjustRightInd w:val="0"/>
              <w:snapToGrid w:val="0"/>
              <w:spacing w:line="360" w:lineRule="auto"/>
              <w:ind w:firstLine="480" w:firstLineChars="200"/>
              <w:rPr>
                <w:bCs/>
                <w:sz w:val="24"/>
              </w:rPr>
            </w:pPr>
            <w:r>
              <w:rPr>
                <w:bCs/>
                <w:sz w:val="24"/>
              </w:rPr>
              <w:t>式中：L</w:t>
            </w:r>
            <w:r>
              <w:rPr>
                <w:bCs/>
                <w:sz w:val="24"/>
                <w:vertAlign w:val="subscript"/>
              </w:rPr>
              <w:t>P</w:t>
            </w:r>
            <w:r>
              <w:rPr>
                <w:bCs/>
                <w:sz w:val="24"/>
              </w:rPr>
              <w:t>(r)</w:t>
            </w:r>
            <w:r>
              <w:rPr>
                <w:rFonts w:hint="eastAsia"/>
                <w:bCs/>
                <w:sz w:val="24"/>
              </w:rPr>
              <w:t>为</w:t>
            </w:r>
            <w:r>
              <w:rPr>
                <w:bCs/>
                <w:sz w:val="24"/>
              </w:rPr>
              <w:t>预测点的声压级</w:t>
            </w:r>
            <w:r>
              <w:rPr>
                <w:rFonts w:hint="eastAsia"/>
                <w:bCs/>
                <w:sz w:val="24"/>
              </w:rPr>
              <w:t>，dB（A）；</w:t>
            </w:r>
          </w:p>
          <w:p>
            <w:pPr>
              <w:adjustRightInd w:val="0"/>
              <w:snapToGrid w:val="0"/>
              <w:spacing w:line="360" w:lineRule="auto"/>
              <w:ind w:firstLine="1200" w:firstLineChars="500"/>
              <w:rPr>
                <w:bCs/>
                <w:sz w:val="24"/>
              </w:rPr>
            </w:pPr>
            <w:r>
              <w:rPr>
                <w:bCs/>
                <w:sz w:val="24"/>
              </w:rPr>
              <w:t>L</w:t>
            </w:r>
            <w:r>
              <w:rPr>
                <w:bCs/>
                <w:sz w:val="24"/>
                <w:vertAlign w:val="subscript"/>
              </w:rPr>
              <w:t>P0</w:t>
            </w:r>
            <w:r>
              <w:rPr>
                <w:rFonts w:hint="eastAsia"/>
                <w:bCs/>
                <w:sz w:val="24"/>
              </w:rPr>
              <w:t>为点</w:t>
            </w:r>
            <w:r>
              <w:rPr>
                <w:bCs/>
                <w:sz w:val="24"/>
              </w:rPr>
              <w:t>声源在</w:t>
            </w:r>
            <w:r>
              <w:rPr>
                <w:rFonts w:hint="eastAsia"/>
                <w:bCs/>
                <w:sz w:val="24"/>
              </w:rPr>
              <w:t>r</w:t>
            </w:r>
            <w:r>
              <w:rPr>
                <w:bCs/>
                <w:sz w:val="24"/>
                <w:vertAlign w:val="subscript"/>
              </w:rPr>
              <w:t>0</w:t>
            </w:r>
            <w:r>
              <w:rPr>
                <w:rFonts w:hint="eastAsia"/>
                <w:bCs/>
                <w:sz w:val="24"/>
              </w:rPr>
              <w:t>(m)距离</w:t>
            </w:r>
            <w:r>
              <w:rPr>
                <w:bCs/>
                <w:sz w:val="24"/>
              </w:rPr>
              <w:t>处测定的声压级</w:t>
            </w:r>
            <w:r>
              <w:rPr>
                <w:rFonts w:hint="eastAsia"/>
                <w:bCs/>
                <w:sz w:val="24"/>
              </w:rPr>
              <w:t>，dB（A）；</w:t>
            </w:r>
          </w:p>
          <w:p>
            <w:pPr>
              <w:adjustRightInd w:val="0"/>
              <w:snapToGrid w:val="0"/>
              <w:spacing w:line="360" w:lineRule="auto"/>
              <w:ind w:firstLine="1200" w:firstLineChars="500"/>
              <w:rPr>
                <w:bCs/>
                <w:sz w:val="24"/>
              </w:rPr>
            </w:pPr>
            <w:r>
              <w:rPr>
                <w:bCs/>
                <w:sz w:val="24"/>
              </w:rPr>
              <w:t>R</w:t>
            </w:r>
            <w:r>
              <w:rPr>
                <w:rFonts w:hint="eastAsia"/>
                <w:bCs/>
                <w:sz w:val="24"/>
              </w:rPr>
              <w:t>为</w:t>
            </w:r>
            <w:r>
              <w:rPr>
                <w:bCs/>
                <w:sz w:val="24"/>
              </w:rPr>
              <w:t>点声源距预测点的距离，</w:t>
            </w:r>
            <w:r>
              <w:rPr>
                <w:rFonts w:hint="eastAsia"/>
                <w:bCs/>
                <w:sz w:val="24"/>
              </w:rPr>
              <w:t>m。</w:t>
            </w:r>
          </w:p>
          <w:p>
            <w:pPr>
              <w:adjustRightInd w:val="0"/>
              <w:snapToGrid w:val="0"/>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2 \* GB3</w:instrText>
            </w:r>
            <w:r>
              <w:rPr>
                <w:bCs/>
                <w:sz w:val="24"/>
              </w:rPr>
              <w:instrText xml:space="preserve"> </w:instrText>
            </w:r>
            <w:r>
              <w:rPr>
                <w:bCs/>
                <w:sz w:val="24"/>
              </w:rPr>
              <w:fldChar w:fldCharType="separate"/>
            </w:r>
            <w:r>
              <w:rPr>
                <w:rFonts w:hint="eastAsia"/>
                <w:bCs/>
                <w:sz w:val="24"/>
              </w:rPr>
              <w:t>②</w:t>
            </w:r>
            <w:r>
              <w:rPr>
                <w:bCs/>
                <w:sz w:val="24"/>
              </w:rPr>
              <w:fldChar w:fldCharType="end"/>
            </w:r>
            <w:r>
              <w:rPr>
                <w:rFonts w:hint="eastAsia"/>
                <w:bCs/>
                <w:sz w:val="24"/>
              </w:rPr>
              <w:t>室内</w:t>
            </w:r>
            <w:r>
              <w:rPr>
                <w:bCs/>
                <w:sz w:val="24"/>
              </w:rPr>
              <w:t>声源</w:t>
            </w:r>
          </w:p>
          <w:p>
            <w:pPr>
              <w:adjustRightInd w:val="0"/>
              <w:snapToGrid w:val="0"/>
              <w:spacing w:line="360" w:lineRule="auto"/>
              <w:ind w:firstLine="480" w:firstLineChars="200"/>
              <w:rPr>
                <w:bCs/>
                <w:sz w:val="24"/>
              </w:rPr>
            </w:pPr>
            <w:r>
              <w:rPr>
                <w:rFonts w:hint="eastAsia"/>
                <w:bCs/>
                <w:sz w:val="24"/>
              </w:rPr>
              <w:t>室内声源等效为室外点源的声传播衰减公式为</w:t>
            </w:r>
            <w:r>
              <w:rPr>
                <w:bCs/>
                <w:sz w:val="24"/>
              </w:rPr>
              <w:t>：</w:t>
            </w:r>
          </w:p>
          <w:p>
            <w:pPr>
              <w:adjustRightInd w:val="0"/>
              <w:snapToGrid w:val="0"/>
              <w:spacing w:line="360" w:lineRule="auto"/>
              <w:ind w:firstLine="480" w:firstLineChars="200"/>
              <w:jc w:val="center"/>
              <w:rPr>
                <w:bCs/>
                <w:sz w:val="24"/>
              </w:rPr>
            </w:pPr>
            <m:oMathPara>
              <m:oMath>
                <m:sSub>
                  <m:sSubPr>
                    <m:ctrlPr>
                      <w:rPr>
                        <w:rFonts w:ascii="Cambria Math" w:hAnsi="Cambria Math"/>
                        <w:bCs/>
                        <w:sz w:val="24"/>
                      </w:rPr>
                    </m:ctrlPr>
                  </m:sSubPr>
                  <m:e>
                    <m:r>
                      <m:rPr/>
                      <w:rPr>
                        <w:rFonts w:ascii="Cambria Math" w:hAnsi="Cambria Math"/>
                        <w:sz w:val="24"/>
                      </w:rPr>
                      <m:t>L</m:t>
                    </m:r>
                    <m:ctrlPr>
                      <w:rPr>
                        <w:rFonts w:ascii="Cambria Math" w:hAnsi="Cambria Math"/>
                        <w:bCs/>
                        <w:sz w:val="24"/>
                      </w:rPr>
                    </m:ctrlPr>
                  </m:e>
                  <m:sub>
                    <m:r>
                      <m:rPr/>
                      <w:rPr>
                        <w:rFonts w:ascii="Cambria Math" w:hAnsi="Cambria Math"/>
                        <w:sz w:val="24"/>
                      </w:rPr>
                      <m:t>P</m:t>
                    </m:r>
                    <m:ctrlPr>
                      <w:rPr>
                        <w:rFonts w:ascii="Cambria Math" w:hAnsi="Cambria Math"/>
                        <w:bCs/>
                        <w:sz w:val="24"/>
                      </w:rPr>
                    </m:ctrlPr>
                  </m:sub>
                </m:sSub>
                <m:d>
                  <m:dPr>
                    <m:ctrlPr>
                      <w:rPr>
                        <w:rFonts w:ascii="Cambria Math" w:hAnsi="Cambria Math"/>
                        <w:bCs/>
                        <w:i/>
                        <w:sz w:val="24"/>
                      </w:rPr>
                    </m:ctrlPr>
                  </m:dPr>
                  <m:e>
                    <m:r>
                      <m:rPr/>
                      <w:rPr>
                        <w:rFonts w:ascii="Cambria Math" w:hAnsi="Cambria Math"/>
                        <w:sz w:val="24"/>
                      </w:rPr>
                      <m:t>r</m:t>
                    </m:r>
                    <m:ctrlPr>
                      <w:rPr>
                        <w:rFonts w:ascii="Cambria Math" w:hAnsi="Cambria Math"/>
                        <w:bCs/>
                        <w:i/>
                        <w:sz w:val="24"/>
                      </w:rPr>
                    </m:ctrlPr>
                  </m:e>
                </m:d>
                <m:r>
                  <m:rPr/>
                  <w:rPr>
                    <w:rFonts w:ascii="Cambria Math" w:hAnsi="Cambria Math"/>
                    <w:sz w:val="24"/>
                  </w:rPr>
                  <m:t>=</m:t>
                </m:r>
                <m:sSub>
                  <m:sSubPr>
                    <m:ctrlPr>
                      <w:rPr>
                        <w:rFonts w:ascii="Cambria Math" w:hAnsi="Cambria Math"/>
                        <w:bCs/>
                        <w:i/>
                        <w:sz w:val="24"/>
                      </w:rPr>
                    </m:ctrlPr>
                  </m:sSubPr>
                  <m:e>
                    <m:r>
                      <m:rPr/>
                      <w:rPr>
                        <w:rFonts w:ascii="Cambria Math" w:hAnsi="Cambria Math"/>
                        <w:sz w:val="24"/>
                      </w:rPr>
                      <m:t>L</m:t>
                    </m:r>
                    <m:ctrlPr>
                      <w:rPr>
                        <w:rFonts w:ascii="Cambria Math" w:hAnsi="Cambria Math"/>
                        <w:bCs/>
                        <w:i/>
                        <w:sz w:val="24"/>
                      </w:rPr>
                    </m:ctrlPr>
                  </m:e>
                  <m:sub>
                    <m:r>
                      <m:rPr/>
                      <w:rPr>
                        <w:rFonts w:ascii="Cambria Math" w:hAnsi="Cambria Math"/>
                        <w:sz w:val="24"/>
                      </w:rPr>
                      <m:t>p0</m:t>
                    </m:r>
                    <m:ctrlPr>
                      <w:rPr>
                        <w:rFonts w:ascii="Cambria Math" w:hAnsi="Cambria Math"/>
                        <w:bCs/>
                        <w:i/>
                        <w:sz w:val="24"/>
                      </w:rPr>
                    </m:ctrlPr>
                  </m:sub>
                </m:sSub>
                <m:r>
                  <m:rPr/>
                  <w:rPr>
                    <w:rFonts w:ascii="Cambria Math" w:hAnsi="Cambria Math"/>
                    <w:sz w:val="24"/>
                  </w:rPr>
                  <m:t>−20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r</m:t>
                        </m:r>
                        <m:ctrlPr>
                          <w:rPr>
                            <w:rFonts w:ascii="Cambria Math" w:hAnsi="Cambria Math"/>
                            <w:bCs/>
                            <w:i/>
                            <w:sz w:val="24"/>
                          </w:rPr>
                        </m:ctrlPr>
                      </m:num>
                      <m:den>
                        <m:sSub>
                          <m:sSubPr>
                            <m:ctrlPr>
                              <w:rPr>
                                <w:rFonts w:ascii="Cambria Math" w:hAnsi="Cambria Math"/>
                                <w:bCs/>
                                <w:i/>
                                <w:sz w:val="24"/>
                              </w:rPr>
                            </m:ctrlPr>
                          </m:sSubPr>
                          <m:e>
                            <m:r>
                              <m:rPr/>
                              <w:rPr>
                                <w:rFonts w:ascii="Cambria Math" w:hAnsi="Cambria Math"/>
                                <w:sz w:val="24"/>
                              </w:rPr>
                              <m:t>r</m:t>
                            </m:r>
                            <m:ctrlPr>
                              <w:rPr>
                                <w:rFonts w:ascii="Cambria Math" w:hAnsi="Cambria Math"/>
                                <w:bCs/>
                                <w:i/>
                                <w:sz w:val="24"/>
                              </w:rPr>
                            </m:ctrlPr>
                          </m:e>
                          <m:sub>
                            <m:r>
                              <m:rPr/>
                              <w:rPr>
                                <w:rFonts w:ascii="Cambria Math" w:hAnsi="Cambria Math"/>
                                <w:sz w:val="24"/>
                              </w:rPr>
                              <m:t>0</m:t>
                            </m:r>
                            <m:ctrlPr>
                              <w:rPr>
                                <w:rFonts w:ascii="Cambria Math" w:hAnsi="Cambria Math"/>
                                <w:bCs/>
                                <w:i/>
                                <w:sz w:val="24"/>
                              </w:rPr>
                            </m:ctrlPr>
                          </m:sub>
                        </m:sSub>
                        <m:ctrlPr>
                          <w:rPr>
                            <w:rFonts w:ascii="Cambria Math" w:hAnsi="Cambria Math"/>
                            <w:bCs/>
                            <w:i/>
                            <w:sz w:val="24"/>
                          </w:rPr>
                        </m:ctrlPr>
                      </m:den>
                    </m:f>
                    <m:ctrlPr>
                      <w:rPr>
                        <w:rFonts w:ascii="Cambria Math" w:hAnsi="Cambria Math"/>
                        <w:bCs/>
                        <w:i/>
                        <w:sz w:val="24"/>
                      </w:rPr>
                    </m:ctrlPr>
                  </m:e>
                </m:func>
                <m:r>
                  <m:rPr/>
                  <w:rPr>
                    <w:rFonts w:ascii="Cambria Math" w:hAnsi="Cambria Math"/>
                    <w:sz w:val="24"/>
                  </w:rPr>
                  <m:t>−TL+10</m:t>
                </m:r>
                <m:func>
                  <m:funcPr>
                    <m:ctrlPr>
                      <w:rPr>
                        <w:rFonts w:ascii="Cambria Math" w:hAnsi="Cambria Math"/>
                        <w:bCs/>
                        <w:i/>
                        <w:sz w:val="24"/>
                      </w:rPr>
                    </m:ctrlPr>
                  </m:funcPr>
                  <m:fName>
                    <m:r>
                      <m:rPr>
                        <m:sty m:val="p"/>
                      </m:rPr>
                      <w:rPr>
                        <w:rFonts w:ascii="Cambria Math" w:hAnsi="Cambria Math"/>
                        <w:sz w:val="24"/>
                      </w:rPr>
                      <m:t>lg</m:t>
                    </m:r>
                    <m:ctrlPr>
                      <w:rPr>
                        <w:rFonts w:ascii="Cambria Math" w:hAnsi="Cambria Math"/>
                        <w:bCs/>
                        <w:i/>
                        <w:sz w:val="24"/>
                      </w:rPr>
                    </m:ctrlPr>
                  </m:fName>
                  <m:e>
                    <m:f>
                      <m:fPr>
                        <m:ctrlPr>
                          <w:rPr>
                            <w:rFonts w:ascii="Cambria Math" w:hAnsi="Cambria Math"/>
                            <w:bCs/>
                            <w:i/>
                            <w:sz w:val="24"/>
                          </w:rPr>
                        </m:ctrlPr>
                      </m:fPr>
                      <m:num>
                        <m:r>
                          <m:rPr/>
                          <w:rPr>
                            <w:rFonts w:ascii="Cambria Math" w:hAnsi="Cambria Math"/>
                            <w:sz w:val="24"/>
                          </w:rPr>
                          <m:t>1−α</m:t>
                        </m:r>
                        <m:ctrlPr>
                          <w:rPr>
                            <w:rFonts w:ascii="Cambria Math" w:hAnsi="Cambria Math"/>
                            <w:bCs/>
                            <w:i/>
                            <w:sz w:val="24"/>
                          </w:rPr>
                        </m:ctrlPr>
                      </m:num>
                      <m:den>
                        <m:r>
                          <m:rPr/>
                          <w:rPr>
                            <w:rFonts w:ascii="Cambria Math" w:hAnsi="Cambria Math"/>
                            <w:sz w:val="24"/>
                          </w:rPr>
                          <m:t>α</m:t>
                        </m:r>
                        <m:ctrlPr>
                          <w:rPr>
                            <w:rFonts w:ascii="Cambria Math" w:hAnsi="Cambria Math"/>
                            <w:bCs/>
                            <w:i/>
                            <w:sz w:val="24"/>
                          </w:rPr>
                        </m:ctrlPr>
                      </m:den>
                    </m:f>
                    <m:ctrlPr>
                      <w:rPr>
                        <w:rFonts w:ascii="Cambria Math" w:hAnsi="Cambria Math"/>
                        <w:bCs/>
                        <w:i/>
                        <w:sz w:val="24"/>
                      </w:rPr>
                    </m:ctrlPr>
                  </m:e>
                </m:func>
              </m:oMath>
            </m:oMathPara>
          </w:p>
          <w:p>
            <w:pPr>
              <w:adjustRightInd w:val="0"/>
              <w:snapToGrid w:val="0"/>
              <w:spacing w:line="360" w:lineRule="auto"/>
              <w:ind w:firstLine="480" w:firstLineChars="200"/>
              <w:rPr>
                <w:bCs/>
                <w:sz w:val="24"/>
              </w:rPr>
            </w:pPr>
            <w:r>
              <w:rPr>
                <w:bCs/>
                <w:sz w:val="24"/>
              </w:rPr>
              <w:t>式中：L</w:t>
            </w:r>
            <w:r>
              <w:rPr>
                <w:bCs/>
                <w:sz w:val="24"/>
                <w:vertAlign w:val="subscript"/>
              </w:rPr>
              <w:t>P</w:t>
            </w:r>
            <w:r>
              <w:rPr>
                <w:bCs/>
                <w:sz w:val="24"/>
              </w:rPr>
              <w:t>(r)</w:t>
            </w:r>
            <w:r>
              <w:rPr>
                <w:rFonts w:hint="eastAsia"/>
                <w:bCs/>
                <w:sz w:val="24"/>
              </w:rPr>
              <w:t>为</w:t>
            </w:r>
            <w:r>
              <w:rPr>
                <w:bCs/>
                <w:sz w:val="24"/>
              </w:rPr>
              <w:t>预测点的声压级</w:t>
            </w:r>
            <w:r>
              <w:rPr>
                <w:rFonts w:hint="eastAsia"/>
                <w:bCs/>
                <w:sz w:val="24"/>
              </w:rPr>
              <w:t>，dB（A）；</w:t>
            </w:r>
          </w:p>
          <w:p>
            <w:pPr>
              <w:adjustRightInd w:val="0"/>
              <w:snapToGrid w:val="0"/>
              <w:spacing w:line="360" w:lineRule="auto"/>
              <w:ind w:firstLine="1200" w:firstLineChars="500"/>
              <w:rPr>
                <w:bCs/>
                <w:sz w:val="24"/>
              </w:rPr>
            </w:pPr>
            <w:r>
              <w:rPr>
                <w:bCs/>
                <w:sz w:val="24"/>
              </w:rPr>
              <w:t>L</w:t>
            </w:r>
            <w:r>
              <w:rPr>
                <w:bCs/>
                <w:sz w:val="24"/>
                <w:vertAlign w:val="subscript"/>
              </w:rPr>
              <w:t>P0</w:t>
            </w:r>
            <w:r>
              <w:rPr>
                <w:rFonts w:hint="eastAsia"/>
                <w:bCs/>
                <w:sz w:val="24"/>
              </w:rPr>
              <w:t>为点</w:t>
            </w:r>
            <w:r>
              <w:rPr>
                <w:bCs/>
                <w:sz w:val="24"/>
              </w:rPr>
              <w:t>声源在</w:t>
            </w:r>
            <w:r>
              <w:rPr>
                <w:rFonts w:hint="eastAsia"/>
                <w:bCs/>
                <w:sz w:val="24"/>
              </w:rPr>
              <w:t>r</w:t>
            </w:r>
            <w:r>
              <w:rPr>
                <w:bCs/>
                <w:sz w:val="24"/>
                <w:vertAlign w:val="subscript"/>
              </w:rPr>
              <w:t>0</w:t>
            </w:r>
            <w:r>
              <w:rPr>
                <w:rFonts w:hint="eastAsia"/>
                <w:bCs/>
                <w:sz w:val="24"/>
              </w:rPr>
              <w:t>(m)距离</w:t>
            </w:r>
            <w:r>
              <w:rPr>
                <w:bCs/>
                <w:sz w:val="24"/>
              </w:rPr>
              <w:t>处测定的声压级</w:t>
            </w:r>
            <w:r>
              <w:rPr>
                <w:rFonts w:hint="eastAsia"/>
                <w:bCs/>
                <w:sz w:val="24"/>
              </w:rPr>
              <w:t>，dB（A）；</w:t>
            </w:r>
          </w:p>
          <w:p>
            <w:pPr>
              <w:adjustRightInd w:val="0"/>
              <w:snapToGrid w:val="0"/>
              <w:spacing w:line="360" w:lineRule="auto"/>
              <w:ind w:firstLine="1200" w:firstLineChars="500"/>
              <w:rPr>
                <w:bCs/>
                <w:sz w:val="24"/>
              </w:rPr>
            </w:pPr>
            <w:r>
              <w:rPr>
                <w:bCs/>
                <w:sz w:val="24"/>
              </w:rPr>
              <w:t>TL</w:t>
            </w:r>
            <w:r>
              <w:rPr>
                <w:rFonts w:hint="eastAsia"/>
                <w:bCs/>
                <w:sz w:val="24"/>
              </w:rPr>
              <w:t>为</w:t>
            </w:r>
            <w:r>
              <w:rPr>
                <w:bCs/>
                <w:sz w:val="24"/>
              </w:rPr>
              <w:t>围护结构的平均隔声量</w:t>
            </w:r>
            <w:r>
              <w:rPr>
                <w:rFonts w:hint="eastAsia"/>
                <w:bCs/>
                <w:sz w:val="24"/>
              </w:rPr>
              <w:t>，</w:t>
            </w:r>
            <w:r>
              <w:rPr>
                <w:bCs/>
                <w:sz w:val="24"/>
              </w:rPr>
              <w:t>dB(A)</w:t>
            </w:r>
            <w:r>
              <w:rPr>
                <w:rFonts w:hint="eastAsia"/>
                <w:bCs/>
                <w:sz w:val="24"/>
              </w:rPr>
              <w:t>；</w:t>
            </w:r>
          </w:p>
          <w:p>
            <w:pPr>
              <w:adjustRightInd w:val="0"/>
              <w:snapToGrid w:val="0"/>
              <w:spacing w:line="360" w:lineRule="auto"/>
              <w:ind w:firstLine="1200" w:firstLineChars="500"/>
              <w:rPr>
                <w:bCs/>
                <w:sz w:val="24"/>
              </w:rPr>
            </w:pPr>
            <w:r>
              <w:rPr>
                <w:bCs/>
                <w:sz w:val="24"/>
              </w:rPr>
              <w:t>α</w:t>
            </w:r>
            <w:r>
              <w:rPr>
                <w:rFonts w:hint="eastAsia"/>
                <w:bCs/>
                <w:sz w:val="24"/>
              </w:rPr>
              <w:t>为吸声</w:t>
            </w:r>
            <w:r>
              <w:rPr>
                <w:bCs/>
                <w:sz w:val="24"/>
              </w:rPr>
              <w:t>系数，对一般机械车间，</w:t>
            </w:r>
            <w:r>
              <w:rPr>
                <w:rFonts w:hint="eastAsia"/>
                <w:bCs/>
                <w:sz w:val="24"/>
              </w:rPr>
              <w:t>取0.15。</w:t>
            </w:r>
          </w:p>
          <w:p>
            <w:pPr>
              <w:adjustRightInd w:val="0"/>
              <w:snapToGrid w:val="0"/>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3 \* GB3</w:instrText>
            </w:r>
            <w:r>
              <w:rPr>
                <w:bCs/>
                <w:sz w:val="24"/>
              </w:rPr>
              <w:instrText xml:space="preserve"> </w:instrText>
            </w:r>
            <w:r>
              <w:rPr>
                <w:bCs/>
                <w:sz w:val="24"/>
              </w:rPr>
              <w:fldChar w:fldCharType="separate"/>
            </w:r>
            <w:r>
              <w:rPr>
                <w:rFonts w:hint="eastAsia"/>
                <w:bCs/>
                <w:sz w:val="24"/>
              </w:rPr>
              <w:t>③</w:t>
            </w:r>
            <w:r>
              <w:rPr>
                <w:bCs/>
                <w:sz w:val="24"/>
              </w:rPr>
              <w:fldChar w:fldCharType="end"/>
            </w:r>
            <w:r>
              <w:rPr>
                <w:rFonts w:hint="eastAsia"/>
                <w:bCs/>
                <w:sz w:val="24"/>
              </w:rPr>
              <w:t>噪声贡献值</w:t>
            </w:r>
          </w:p>
          <w:p>
            <w:pPr>
              <w:adjustRightInd w:val="0"/>
              <w:snapToGrid w:val="0"/>
              <w:spacing w:line="360" w:lineRule="auto"/>
              <w:ind w:firstLine="480" w:firstLineChars="200"/>
              <w:jc w:val="center"/>
              <w:rPr>
                <w:bCs/>
                <w:sz w:val="24"/>
              </w:rPr>
            </w:pPr>
            <m:oMathPara>
              <m:oMath>
                <m:sSub>
                  <m:sSubPr>
                    <m:ctrlPr>
                      <w:rPr>
                        <w:rFonts w:ascii="Cambria Math" w:hAnsi="Cambria Math"/>
                        <w:sz w:val="24"/>
                      </w:rPr>
                    </m:ctrlPr>
                  </m:sSubPr>
                  <m:e>
                    <m:r>
                      <m:rPr>
                        <m:sty m:val="p"/>
                      </m:rPr>
                      <w:rPr>
                        <w:rFonts w:ascii="Cambria Math" w:hAnsi="Cambria Math"/>
                        <w:sz w:val="24"/>
                      </w:rPr>
                      <m:t>L</m:t>
                    </m:r>
                    <m:ctrlPr>
                      <w:rPr>
                        <w:rFonts w:ascii="Cambria Math" w:hAnsi="Cambria Math"/>
                        <w:sz w:val="24"/>
                      </w:rPr>
                    </m:ctrlPr>
                  </m:e>
                  <m:sub>
                    <m:r>
                      <m:rPr/>
                      <w:rPr>
                        <w:rFonts w:ascii="Cambria Math" w:hAnsi="Cambria Math"/>
                        <w:sz w:val="24"/>
                      </w:rPr>
                      <m:t>eqg</m:t>
                    </m:r>
                    <m:ctrlPr>
                      <w:rPr>
                        <w:rFonts w:ascii="Cambria Math" w:hAnsi="Cambria Math"/>
                        <w:sz w:val="24"/>
                      </w:rPr>
                    </m:ctrlPr>
                  </m:sub>
                </m:sSub>
                <m:r>
                  <m:rPr>
                    <m:sty m:val="p"/>
                  </m:rPr>
                  <w:rPr>
                    <w:rFonts w:ascii="Cambria Math" w:hAnsi="Cambria Math"/>
                    <w:sz w:val="24"/>
                  </w:rPr>
                  <m:t>=10</m:t>
                </m:r>
                <m:func>
                  <m:funcPr>
                    <m:ctrlPr>
                      <w:rPr>
                        <w:rFonts w:ascii="Cambria Math" w:hAnsi="Cambria Math"/>
                        <w:sz w:val="24"/>
                      </w:rPr>
                    </m:ctrlPr>
                  </m:funcPr>
                  <m:fName>
                    <m:r>
                      <m:rPr>
                        <m:sty m:val="p"/>
                      </m:rPr>
                      <w:rPr>
                        <w:rFonts w:ascii="Cambria Math" w:hAnsi="Cambria Math"/>
                        <w:sz w:val="24"/>
                      </w:rPr>
                      <m:t>lg</m:t>
                    </m:r>
                    <m:ctrlPr>
                      <w:rPr>
                        <w:rFonts w:ascii="Cambria Math" w:hAnsi="Cambria Math"/>
                        <w:sz w:val="24"/>
                      </w:rPr>
                    </m:ctrlPr>
                  </m:fName>
                  <m:e>
                    <m:d>
                      <m:dPr>
                        <m:ctrlPr>
                          <w:rPr>
                            <w:rFonts w:ascii="Cambria Math" w:hAnsi="Cambria Math"/>
                            <w:i/>
                            <w:sz w:val="24"/>
                          </w:rPr>
                        </m:ctrlPr>
                      </m:dPr>
                      <m:e>
                        <m:f>
                          <m:fPr>
                            <m:ctrlPr>
                              <w:rPr>
                                <w:rFonts w:ascii="Cambria Math" w:hAnsi="Cambria Math"/>
                                <w:i/>
                                <w:sz w:val="24"/>
                              </w:rPr>
                            </m:ctrlPr>
                          </m:fPr>
                          <m:num>
                            <m:r>
                              <m:rPr/>
                              <w:rPr>
                                <w:rFonts w:ascii="Cambria Math" w:hAnsi="Cambria Math"/>
                                <w:sz w:val="24"/>
                              </w:rPr>
                              <m:t>1</m:t>
                            </m:r>
                            <m:ctrlPr>
                              <w:rPr>
                                <w:rFonts w:ascii="Cambria Math" w:hAnsi="Cambria Math"/>
                                <w:i/>
                                <w:sz w:val="24"/>
                              </w:rPr>
                            </m:ctrlPr>
                          </m:num>
                          <m:den>
                            <m:r>
                              <m:rPr/>
                              <w:rPr>
                                <w:rFonts w:ascii="Cambria Math" w:hAnsi="Cambria Math"/>
                                <w:sz w:val="24"/>
                              </w:rPr>
                              <m:t>T</m:t>
                            </m:r>
                            <m:ctrlPr>
                              <w:rPr>
                                <w:rFonts w:ascii="Cambria Math" w:hAnsi="Cambria Math"/>
                                <w:i/>
                                <w:sz w:val="24"/>
                              </w:rPr>
                            </m:ctrlPr>
                          </m:den>
                        </m:f>
                        <m:nary>
                          <m:naryPr>
                            <m:chr m:val="∑"/>
                            <m:limLoc m:val="undOvr"/>
                            <m:supHide m:val="1"/>
                            <m:ctrlPr>
                              <w:rPr>
                                <w:rFonts w:ascii="Cambria Math" w:hAnsi="Cambria Math"/>
                                <w:i/>
                                <w:sz w:val="24"/>
                              </w:rPr>
                            </m:ctrlPr>
                          </m:naryPr>
                          <m:sub>
                            <m:r>
                              <m:rPr/>
                              <w:rPr>
                                <w:rFonts w:ascii="Cambria Math" w:hAnsi="Cambria Math"/>
                                <w:sz w:val="24"/>
                              </w:rPr>
                              <m:t>i</m:t>
                            </m:r>
                            <m:ctrlPr>
                              <w:rPr>
                                <w:rFonts w:ascii="Cambria Math" w:hAnsi="Cambria Math"/>
                                <w:i/>
                                <w:sz w:val="24"/>
                              </w:rPr>
                            </m:ctrlPr>
                          </m:sub>
                          <m:sup>
                            <m:ctrlPr>
                              <w:rPr>
                                <w:rFonts w:ascii="Cambria Math" w:hAnsi="Cambria Math"/>
                                <w:i/>
                                <w:sz w:val="24"/>
                              </w:rPr>
                            </m:ctrlPr>
                          </m:sup>
                          <m:e>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sSup>
                              <m:sSupPr>
                                <m:ctrlPr>
                                  <w:rPr>
                                    <w:rFonts w:ascii="Cambria Math" w:hAnsi="Cambria Math"/>
                                    <w:i/>
                                    <w:sz w:val="24"/>
                                  </w:rPr>
                                </m:ctrlPr>
                              </m:sSupPr>
                              <m:e>
                                <m:r>
                                  <m:rPr/>
                                  <w:rPr>
                                    <w:rFonts w:ascii="Cambria Math" w:hAnsi="Cambria Math"/>
                                    <w:sz w:val="24"/>
                                  </w:rPr>
                                  <m:t>10</m:t>
                                </m:r>
                                <m:ctrlPr>
                                  <w:rPr>
                                    <w:rFonts w:ascii="Cambria Math" w:hAnsi="Cambria Math"/>
                                    <w:i/>
                                    <w:sz w:val="24"/>
                                  </w:rPr>
                                </m:ctrlPr>
                              </m:e>
                              <m:sup>
                                <m:r>
                                  <m:rPr/>
                                  <w:rPr>
                                    <w:rFonts w:ascii="Cambria Math" w:hAnsi="Cambria Math"/>
                                    <w:sz w:val="24"/>
                                  </w:rPr>
                                  <m:t>0.1</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Ai</m:t>
                                    </m:r>
                                    <m:ctrlPr>
                                      <w:rPr>
                                        <w:rFonts w:ascii="Cambria Math" w:hAnsi="Cambria Math"/>
                                        <w:i/>
                                        <w:sz w:val="24"/>
                                      </w:rPr>
                                    </m:ctrlPr>
                                  </m:sub>
                                </m:sSub>
                                <m:ctrlPr>
                                  <w:rPr>
                                    <w:rFonts w:ascii="Cambria Math" w:hAnsi="Cambria Math"/>
                                    <w:i/>
                                    <w:sz w:val="24"/>
                                  </w:rPr>
                                </m:ctrlPr>
                              </m:sup>
                            </m:sSup>
                            <m:ctrlPr>
                              <w:rPr>
                                <w:rFonts w:ascii="Cambria Math" w:hAnsi="Cambria Math"/>
                                <w:i/>
                                <w:sz w:val="24"/>
                              </w:rPr>
                            </m:ctrlPr>
                          </m:e>
                        </m:nary>
                        <m:ctrlPr>
                          <w:rPr>
                            <w:rFonts w:ascii="Cambria Math" w:hAnsi="Cambria Math"/>
                            <w:i/>
                            <w:sz w:val="24"/>
                          </w:rPr>
                        </m:ctrlPr>
                      </m:e>
                    </m:d>
                    <m:ctrlPr>
                      <w:rPr>
                        <w:rFonts w:ascii="Cambria Math" w:hAnsi="Cambria Math"/>
                        <w:sz w:val="24"/>
                      </w:rPr>
                    </m:ctrlPr>
                  </m:e>
                </m:func>
              </m:oMath>
            </m:oMathPara>
          </w:p>
          <w:p>
            <w:pPr>
              <w:adjustRightInd w:val="0"/>
              <w:snapToGrid w:val="0"/>
              <w:spacing w:line="360" w:lineRule="auto"/>
              <w:ind w:firstLine="480" w:firstLineChars="200"/>
              <w:rPr>
                <w:kern w:val="0"/>
                <w:sz w:val="24"/>
              </w:rPr>
            </w:pPr>
            <w:r>
              <w:rPr>
                <w:rFonts w:hint="eastAsia"/>
                <w:kern w:val="0"/>
                <w:sz w:val="24"/>
              </w:rPr>
              <w:t>式中</w:t>
            </w:r>
            <w:r>
              <w:rPr>
                <w:kern w:val="0"/>
                <w:sz w:val="24"/>
              </w:rPr>
              <w:t>：</w:t>
            </w:r>
            <w:r>
              <w:rPr>
                <w:rFonts w:hint="eastAsia"/>
                <w:kern w:val="0"/>
                <w:sz w:val="24"/>
              </w:rPr>
              <w:t>Leqg为</w:t>
            </w:r>
            <w:r>
              <w:rPr>
                <w:kern w:val="0"/>
                <w:sz w:val="24"/>
              </w:rPr>
              <w:t>噪声贡献值，</w:t>
            </w:r>
            <w:r>
              <w:rPr>
                <w:rFonts w:hint="eastAsia"/>
                <w:kern w:val="0"/>
                <w:sz w:val="24"/>
              </w:rPr>
              <w:t>dB；</w:t>
            </w:r>
          </w:p>
          <w:p>
            <w:pPr>
              <w:adjustRightInd w:val="0"/>
              <w:snapToGrid w:val="0"/>
              <w:spacing w:line="360" w:lineRule="auto"/>
              <w:ind w:firstLine="1200" w:firstLineChars="500"/>
              <w:rPr>
                <w:kern w:val="0"/>
                <w:sz w:val="24"/>
              </w:rPr>
            </w:pPr>
            <w:r>
              <w:rPr>
                <w:rFonts w:hint="eastAsia"/>
                <w:kern w:val="0"/>
                <w:sz w:val="24"/>
              </w:rPr>
              <w:t>T为预测计算</w:t>
            </w:r>
            <w:r>
              <w:rPr>
                <w:kern w:val="0"/>
                <w:sz w:val="24"/>
              </w:rPr>
              <w:t>的时间段；</w:t>
            </w:r>
          </w:p>
          <w:p>
            <w:pPr>
              <w:adjustRightInd w:val="0"/>
              <w:snapToGrid w:val="0"/>
              <w:spacing w:line="360" w:lineRule="auto"/>
              <w:ind w:firstLine="1200" w:firstLineChars="500"/>
              <w:rPr>
                <w:kern w:val="0"/>
                <w:sz w:val="24"/>
              </w:rPr>
            </w:pPr>
            <w:r>
              <w:rPr>
                <w:kern w:val="0"/>
                <w:sz w:val="24"/>
              </w:rPr>
              <w:t>t</w:t>
            </w:r>
            <w:r>
              <w:rPr>
                <w:kern w:val="0"/>
                <w:sz w:val="24"/>
                <w:vertAlign w:val="subscript"/>
              </w:rPr>
              <w:t>i</w:t>
            </w:r>
            <w:r>
              <w:rPr>
                <w:rFonts w:hint="eastAsia"/>
                <w:kern w:val="0"/>
                <w:sz w:val="24"/>
              </w:rPr>
              <w:t>为</w:t>
            </w:r>
            <w:r>
              <w:rPr>
                <w:kern w:val="0"/>
                <w:sz w:val="24"/>
              </w:rPr>
              <w:t>i</w:t>
            </w:r>
            <w:r>
              <w:rPr>
                <w:rFonts w:hint="eastAsia"/>
                <w:kern w:val="0"/>
                <w:sz w:val="24"/>
              </w:rPr>
              <w:t>声源</w:t>
            </w:r>
            <w:r>
              <w:rPr>
                <w:kern w:val="0"/>
                <w:sz w:val="24"/>
              </w:rPr>
              <w:t>在</w:t>
            </w:r>
            <w:r>
              <w:rPr>
                <w:rFonts w:hint="eastAsia"/>
                <w:kern w:val="0"/>
                <w:sz w:val="24"/>
              </w:rPr>
              <w:t>T时段</w:t>
            </w:r>
            <w:r>
              <w:rPr>
                <w:kern w:val="0"/>
                <w:sz w:val="24"/>
              </w:rPr>
              <w:t>内的运行时间，</w:t>
            </w:r>
            <w:r>
              <w:rPr>
                <w:rFonts w:hint="eastAsia"/>
                <w:kern w:val="0"/>
                <w:sz w:val="24"/>
              </w:rPr>
              <w:t>s；</w:t>
            </w:r>
            <w:r>
              <w:rPr>
                <w:kern w:val="0"/>
                <w:sz w:val="24"/>
              </w:rPr>
              <w:t>；</w:t>
            </w:r>
          </w:p>
          <w:p>
            <w:pPr>
              <w:adjustRightInd w:val="0"/>
              <w:snapToGrid w:val="0"/>
              <w:spacing w:line="360" w:lineRule="auto"/>
              <w:ind w:firstLine="1200" w:firstLineChars="500"/>
              <w:rPr>
                <w:kern w:val="0"/>
                <w:sz w:val="24"/>
              </w:rPr>
            </w:pPr>
            <w:r>
              <w:rPr>
                <w:kern w:val="0"/>
                <w:sz w:val="24"/>
              </w:rPr>
              <w:t>Lai</w:t>
            </w:r>
            <w:r>
              <w:rPr>
                <w:rFonts w:hint="eastAsia"/>
                <w:kern w:val="0"/>
                <w:sz w:val="24"/>
              </w:rPr>
              <w:t>为i声源</w:t>
            </w:r>
            <w:r>
              <w:rPr>
                <w:kern w:val="0"/>
                <w:sz w:val="24"/>
              </w:rPr>
              <w:t>在预测点产生的等效连续</w:t>
            </w:r>
            <w:r>
              <w:rPr>
                <w:rFonts w:hint="eastAsia"/>
                <w:kern w:val="0"/>
                <w:sz w:val="24"/>
              </w:rPr>
              <w:t>A声级</w:t>
            </w:r>
            <w:r>
              <w:rPr>
                <w:kern w:val="0"/>
                <w:sz w:val="24"/>
              </w:rPr>
              <w:t>，</w:t>
            </w:r>
            <w:r>
              <w:rPr>
                <w:rFonts w:hint="eastAsia"/>
                <w:kern w:val="0"/>
                <w:sz w:val="24"/>
              </w:rPr>
              <w:t>dB。</w:t>
            </w:r>
          </w:p>
          <w:p>
            <w:pPr>
              <w:widowControl/>
              <w:spacing w:before="120" w:beforeLines="50" w:line="360" w:lineRule="auto"/>
              <w:ind w:firstLine="480" w:firstLineChars="200"/>
              <w:rPr>
                <w:kern w:val="0"/>
                <w:sz w:val="24"/>
              </w:rPr>
            </w:pPr>
            <w:r>
              <w:rPr>
                <w:kern w:val="0"/>
                <w:sz w:val="24"/>
              </w:rPr>
              <w:t>（3）</w:t>
            </w:r>
            <w:r>
              <w:rPr>
                <w:rFonts w:hint="eastAsia"/>
                <w:kern w:val="0"/>
                <w:sz w:val="24"/>
              </w:rPr>
              <w:t>预测结果</w:t>
            </w:r>
          </w:p>
          <w:p>
            <w:pPr>
              <w:spacing w:line="360" w:lineRule="auto"/>
              <w:ind w:firstLine="480" w:firstLineChars="200"/>
            </w:pPr>
            <w:r>
              <w:rPr>
                <w:kern w:val="0"/>
                <w:sz w:val="24"/>
                <w:szCs w:val="20"/>
                <w:lang w:bidi="ar"/>
              </w:rPr>
              <w:t>项目厂界</w:t>
            </w:r>
            <w:r>
              <w:rPr>
                <w:rFonts w:hint="eastAsia"/>
                <w:kern w:val="0"/>
                <w:sz w:val="24"/>
                <w:szCs w:val="20"/>
                <w:lang w:bidi="ar"/>
              </w:rPr>
              <w:t>及敏感点</w:t>
            </w:r>
            <w:r>
              <w:rPr>
                <w:kern w:val="0"/>
                <w:sz w:val="24"/>
                <w:szCs w:val="20"/>
                <w:lang w:bidi="ar"/>
              </w:rPr>
              <w:t>噪声预测结果</w:t>
            </w:r>
            <w:r>
              <w:rPr>
                <w:rFonts w:hint="eastAsia"/>
                <w:kern w:val="0"/>
                <w:sz w:val="24"/>
                <w:szCs w:val="20"/>
                <w:lang w:bidi="ar"/>
              </w:rPr>
              <w:t>分别</w:t>
            </w:r>
            <w:r>
              <w:rPr>
                <w:kern w:val="0"/>
                <w:sz w:val="24"/>
                <w:szCs w:val="20"/>
                <w:lang w:bidi="ar"/>
              </w:rPr>
              <w:t>见表</w:t>
            </w:r>
            <w:r>
              <w:rPr>
                <w:rFonts w:hint="eastAsia"/>
                <w:kern w:val="0"/>
                <w:sz w:val="24"/>
                <w:szCs w:val="20"/>
                <w:lang w:bidi="ar"/>
              </w:rPr>
              <w:t>4-</w:t>
            </w:r>
            <w:r>
              <w:rPr>
                <w:kern w:val="0"/>
                <w:sz w:val="24"/>
                <w:szCs w:val="20"/>
                <w:lang w:bidi="ar"/>
              </w:rPr>
              <w:t>9</w:t>
            </w:r>
            <w:r>
              <w:rPr>
                <w:rFonts w:hint="eastAsia"/>
                <w:kern w:val="0"/>
                <w:sz w:val="24"/>
                <w:szCs w:val="20"/>
                <w:lang w:bidi="ar"/>
              </w:rPr>
              <w:t>和表4</w:t>
            </w:r>
            <w:r>
              <w:rPr>
                <w:kern w:val="0"/>
                <w:sz w:val="24"/>
                <w:szCs w:val="20"/>
                <w:lang w:bidi="ar"/>
              </w:rPr>
              <w:t>-10。</w:t>
            </w:r>
          </w:p>
          <w:p>
            <w:pPr>
              <w:widowControl/>
              <w:ind w:firstLine="482" w:firstLineChars="200"/>
              <w:jc w:val="center"/>
              <w:rPr>
                <w:kern w:val="0"/>
                <w:sz w:val="24"/>
              </w:rPr>
            </w:pPr>
            <w:r>
              <w:rPr>
                <w:b/>
                <w:kern w:val="0"/>
                <w:sz w:val="24"/>
                <w:szCs w:val="20"/>
                <w:lang w:bidi="ar"/>
              </w:rPr>
              <w:t>表</w:t>
            </w:r>
            <w:r>
              <w:rPr>
                <w:rFonts w:hint="eastAsia"/>
                <w:b/>
                <w:kern w:val="0"/>
                <w:sz w:val="24"/>
                <w:szCs w:val="20"/>
                <w:lang w:bidi="ar"/>
              </w:rPr>
              <w:t>4-</w:t>
            </w:r>
            <w:r>
              <w:rPr>
                <w:b/>
                <w:kern w:val="0"/>
                <w:sz w:val="24"/>
                <w:szCs w:val="20"/>
                <w:lang w:bidi="ar"/>
              </w:rPr>
              <w:t>9  项目</w:t>
            </w:r>
            <w:r>
              <w:rPr>
                <w:rFonts w:hint="eastAsia"/>
                <w:b/>
                <w:kern w:val="0"/>
                <w:sz w:val="24"/>
                <w:szCs w:val="20"/>
                <w:lang w:bidi="ar"/>
              </w:rPr>
              <w:t>厂界</w:t>
            </w:r>
            <w:r>
              <w:rPr>
                <w:b/>
                <w:kern w:val="0"/>
                <w:sz w:val="24"/>
                <w:szCs w:val="20"/>
                <w:lang w:bidi="ar"/>
              </w:rPr>
              <w:t>噪声预测结果  单位：dB(A)</w:t>
            </w:r>
            <w:r>
              <w:rPr>
                <w:kern w:val="0"/>
                <w:sz w:val="24"/>
              </w:rPr>
              <w:t xml:space="preserve"> </w:t>
            </w:r>
          </w:p>
          <w:tbl>
            <w:tblPr>
              <w:tblStyle w:val="21"/>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44"/>
              <w:gridCol w:w="1586"/>
              <w:gridCol w:w="1249"/>
              <w:gridCol w:w="1157"/>
              <w:gridCol w:w="112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0" w:type="pct"/>
                  <w:vMerge w:val="restart"/>
                  <w:vAlign w:val="center"/>
                </w:tcPr>
                <w:p>
                  <w:pPr>
                    <w:pStyle w:val="50"/>
                    <w:spacing w:beforeLines="0" w:afterLines="0" w:line="240" w:lineRule="auto"/>
                    <w:rPr>
                      <w:rFonts w:ascii="Times New Roman"/>
                      <w:b/>
                      <w:bCs/>
                      <w:szCs w:val="21"/>
                    </w:rPr>
                  </w:pPr>
                  <w:r>
                    <w:rPr>
                      <w:rFonts w:ascii="Times New Roman"/>
                      <w:b/>
                      <w:bCs/>
                      <w:szCs w:val="21"/>
                    </w:rPr>
                    <w:t>测点位置</w:t>
                  </w:r>
                </w:p>
              </w:tc>
              <w:tc>
                <w:tcPr>
                  <w:tcW w:w="930" w:type="pct"/>
                  <w:vMerge w:val="restart"/>
                  <w:vAlign w:val="center"/>
                </w:tcPr>
                <w:p>
                  <w:pPr>
                    <w:pStyle w:val="50"/>
                    <w:spacing w:beforeLines="0" w:afterLines="0" w:line="240" w:lineRule="auto"/>
                    <w:rPr>
                      <w:rFonts w:ascii="Times New Roman"/>
                      <w:b/>
                      <w:bCs/>
                      <w:szCs w:val="21"/>
                    </w:rPr>
                  </w:pPr>
                  <w:r>
                    <w:rPr>
                      <w:rFonts w:ascii="Times New Roman"/>
                      <w:b/>
                      <w:bCs/>
                      <w:szCs w:val="21"/>
                    </w:rPr>
                    <w:t>贡献值</w:t>
                  </w:r>
                </w:p>
              </w:tc>
              <w:tc>
                <w:tcPr>
                  <w:tcW w:w="732" w:type="pct"/>
                  <w:vAlign w:val="center"/>
                </w:tcPr>
                <w:p>
                  <w:pPr>
                    <w:pStyle w:val="50"/>
                    <w:spacing w:beforeLines="0" w:afterLines="0" w:line="240" w:lineRule="auto"/>
                    <w:rPr>
                      <w:rFonts w:ascii="Times New Roman"/>
                      <w:b/>
                      <w:bCs/>
                      <w:szCs w:val="21"/>
                    </w:rPr>
                  </w:pPr>
                  <w:r>
                    <w:rPr>
                      <w:rFonts w:ascii="Times New Roman"/>
                      <w:b/>
                      <w:bCs/>
                      <w:szCs w:val="21"/>
                    </w:rPr>
                    <w:t>标准值</w:t>
                  </w:r>
                </w:p>
              </w:tc>
              <w:tc>
                <w:tcPr>
                  <w:tcW w:w="678" w:type="pct"/>
                  <w:vMerge w:val="restart"/>
                  <w:vAlign w:val="center"/>
                </w:tcPr>
                <w:p>
                  <w:pPr>
                    <w:pStyle w:val="50"/>
                    <w:spacing w:beforeLines="0" w:afterLines="0" w:line="240" w:lineRule="auto"/>
                    <w:rPr>
                      <w:rFonts w:ascii="Times New Roman"/>
                      <w:b/>
                      <w:bCs/>
                      <w:szCs w:val="21"/>
                    </w:rPr>
                  </w:pPr>
                  <w:r>
                    <w:rPr>
                      <w:rFonts w:ascii="Times New Roman"/>
                      <w:b/>
                      <w:bCs/>
                      <w:szCs w:val="21"/>
                    </w:rPr>
                    <w:t>达标情况</w:t>
                  </w:r>
                </w:p>
              </w:tc>
              <w:tc>
                <w:tcPr>
                  <w:tcW w:w="660" w:type="pct"/>
                  <w:vAlign w:val="center"/>
                </w:tcPr>
                <w:p>
                  <w:pPr>
                    <w:pStyle w:val="50"/>
                    <w:spacing w:beforeLines="0" w:afterLines="0" w:line="240" w:lineRule="auto"/>
                    <w:rPr>
                      <w:rFonts w:ascii="Times New Roman"/>
                      <w:b/>
                      <w:bCs/>
                      <w:szCs w:val="21"/>
                    </w:rPr>
                  </w:pPr>
                  <w:r>
                    <w:rPr>
                      <w:rFonts w:ascii="Times New Roman"/>
                      <w:b/>
                      <w:bCs/>
                      <w:szCs w:val="21"/>
                    </w:rPr>
                    <w:t>标准值</w:t>
                  </w:r>
                </w:p>
              </w:tc>
              <w:tc>
                <w:tcPr>
                  <w:tcW w:w="860" w:type="pct"/>
                  <w:vMerge w:val="restart"/>
                  <w:vAlign w:val="center"/>
                </w:tcPr>
                <w:p>
                  <w:pPr>
                    <w:pStyle w:val="50"/>
                    <w:spacing w:beforeLines="0" w:afterLines="0" w:line="240" w:lineRule="auto"/>
                    <w:rPr>
                      <w:rFonts w:ascii="Times New Roman"/>
                      <w:b/>
                      <w:bCs/>
                      <w:szCs w:val="21"/>
                    </w:rPr>
                  </w:pPr>
                  <w:r>
                    <w:rPr>
                      <w:rFonts w:ascii="Times New Roman"/>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0" w:type="pct"/>
                  <w:vMerge w:val="continue"/>
                  <w:vAlign w:val="center"/>
                </w:tcPr>
                <w:p>
                  <w:pPr>
                    <w:pStyle w:val="50"/>
                    <w:spacing w:beforeLines="0" w:afterLines="0" w:line="240" w:lineRule="auto"/>
                    <w:rPr>
                      <w:rFonts w:ascii="Times New Roman"/>
                      <w:b/>
                      <w:bCs/>
                      <w:szCs w:val="21"/>
                    </w:rPr>
                  </w:pPr>
                </w:p>
              </w:tc>
              <w:tc>
                <w:tcPr>
                  <w:tcW w:w="930" w:type="pct"/>
                  <w:vMerge w:val="continue"/>
                  <w:vAlign w:val="center"/>
                </w:tcPr>
                <w:p>
                  <w:pPr>
                    <w:pStyle w:val="50"/>
                    <w:spacing w:beforeLines="0" w:afterLines="0" w:line="240" w:lineRule="auto"/>
                    <w:rPr>
                      <w:rFonts w:ascii="Times New Roman"/>
                      <w:b/>
                      <w:bCs/>
                      <w:szCs w:val="21"/>
                    </w:rPr>
                  </w:pPr>
                </w:p>
              </w:tc>
              <w:tc>
                <w:tcPr>
                  <w:tcW w:w="732" w:type="pct"/>
                  <w:vAlign w:val="center"/>
                </w:tcPr>
                <w:p>
                  <w:pPr>
                    <w:pStyle w:val="50"/>
                    <w:spacing w:beforeLines="0" w:afterLines="0" w:line="240" w:lineRule="auto"/>
                    <w:rPr>
                      <w:rFonts w:ascii="Times New Roman"/>
                      <w:b/>
                      <w:bCs/>
                      <w:szCs w:val="21"/>
                    </w:rPr>
                  </w:pPr>
                  <w:r>
                    <w:rPr>
                      <w:rFonts w:ascii="Times New Roman"/>
                      <w:b/>
                      <w:bCs/>
                      <w:szCs w:val="21"/>
                    </w:rPr>
                    <w:t>昼间</w:t>
                  </w:r>
                </w:p>
              </w:tc>
              <w:tc>
                <w:tcPr>
                  <w:tcW w:w="678" w:type="pct"/>
                  <w:vMerge w:val="continue"/>
                  <w:vAlign w:val="center"/>
                </w:tcPr>
                <w:p>
                  <w:pPr>
                    <w:pStyle w:val="50"/>
                    <w:spacing w:beforeLines="0" w:afterLines="0" w:line="240" w:lineRule="auto"/>
                    <w:rPr>
                      <w:rFonts w:ascii="Times New Roman"/>
                      <w:b/>
                      <w:bCs/>
                      <w:szCs w:val="21"/>
                    </w:rPr>
                  </w:pPr>
                </w:p>
              </w:tc>
              <w:tc>
                <w:tcPr>
                  <w:tcW w:w="660" w:type="pct"/>
                  <w:vAlign w:val="center"/>
                </w:tcPr>
                <w:p>
                  <w:pPr>
                    <w:pStyle w:val="50"/>
                    <w:spacing w:beforeLines="0" w:afterLines="0" w:line="240" w:lineRule="auto"/>
                    <w:rPr>
                      <w:rFonts w:ascii="Times New Roman"/>
                      <w:b/>
                      <w:bCs/>
                      <w:szCs w:val="21"/>
                    </w:rPr>
                  </w:pPr>
                  <w:r>
                    <w:rPr>
                      <w:rFonts w:ascii="Times New Roman"/>
                      <w:b/>
                      <w:bCs/>
                      <w:szCs w:val="21"/>
                    </w:rPr>
                    <w:t>夜间</w:t>
                  </w:r>
                </w:p>
              </w:tc>
              <w:tc>
                <w:tcPr>
                  <w:tcW w:w="860" w:type="pct"/>
                  <w:vMerge w:val="continue"/>
                  <w:vAlign w:val="center"/>
                </w:tcPr>
                <w:p>
                  <w:pPr>
                    <w:pStyle w:val="50"/>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vAlign w:val="center"/>
                </w:tcPr>
                <w:p>
                  <w:pPr>
                    <w:pStyle w:val="50"/>
                    <w:spacing w:beforeLines="0" w:afterLines="0" w:line="240" w:lineRule="auto"/>
                    <w:rPr>
                      <w:rFonts w:ascii="Times New Roman"/>
                      <w:bCs/>
                      <w:szCs w:val="21"/>
                    </w:rPr>
                  </w:pPr>
                  <w:r>
                    <w:rPr>
                      <w:rFonts w:hint="eastAsia" w:ascii="Times New Roman"/>
                      <w:bCs/>
                      <w:szCs w:val="21"/>
                    </w:rPr>
                    <w:t>东</w:t>
                  </w:r>
                  <w:r>
                    <w:rPr>
                      <w:rFonts w:ascii="Times New Roman"/>
                      <w:bCs/>
                      <w:szCs w:val="21"/>
                    </w:rPr>
                    <w:t>侧厂界</w:t>
                  </w:r>
                </w:p>
              </w:tc>
              <w:tc>
                <w:tcPr>
                  <w:tcW w:w="930" w:type="pct"/>
                  <w:vAlign w:val="center"/>
                </w:tcPr>
                <w:p>
                  <w:pPr>
                    <w:pStyle w:val="50"/>
                    <w:spacing w:beforeLines="0" w:afterLines="0" w:line="240" w:lineRule="auto"/>
                    <w:rPr>
                      <w:rFonts w:ascii="Times New Roman"/>
                      <w:bCs/>
                      <w:szCs w:val="21"/>
                    </w:rPr>
                  </w:pPr>
                  <w:r>
                    <w:rPr>
                      <w:rFonts w:ascii="Times New Roman"/>
                      <w:bCs/>
                      <w:szCs w:val="21"/>
                    </w:rPr>
                    <w:t>40</w:t>
                  </w:r>
                </w:p>
              </w:tc>
              <w:tc>
                <w:tcPr>
                  <w:tcW w:w="732" w:type="pct"/>
                  <w:vMerge w:val="restart"/>
                  <w:vAlign w:val="center"/>
                </w:tcPr>
                <w:p>
                  <w:pPr>
                    <w:pStyle w:val="50"/>
                    <w:spacing w:beforeLines="0" w:afterLines="0" w:line="240" w:lineRule="auto"/>
                    <w:rPr>
                      <w:rFonts w:ascii="Times New Roman"/>
                      <w:bCs/>
                      <w:szCs w:val="21"/>
                    </w:rPr>
                  </w:pPr>
                  <w:r>
                    <w:rPr>
                      <w:rFonts w:ascii="Times New Roman"/>
                      <w:bCs/>
                      <w:szCs w:val="21"/>
                    </w:rPr>
                    <w:t>60</w:t>
                  </w:r>
                </w:p>
              </w:tc>
              <w:tc>
                <w:tcPr>
                  <w:tcW w:w="678" w:type="pct"/>
                  <w:vMerge w:val="restart"/>
                  <w:vAlign w:val="center"/>
                </w:tcPr>
                <w:p>
                  <w:pPr>
                    <w:pStyle w:val="50"/>
                    <w:spacing w:beforeLines="0" w:afterLines="0" w:line="240" w:lineRule="auto"/>
                    <w:rPr>
                      <w:rFonts w:ascii="Times New Roman"/>
                      <w:bCs/>
                      <w:szCs w:val="21"/>
                    </w:rPr>
                  </w:pPr>
                  <w:r>
                    <w:rPr>
                      <w:rFonts w:ascii="Times New Roman"/>
                      <w:bCs/>
                      <w:szCs w:val="21"/>
                    </w:rPr>
                    <w:t>达标</w:t>
                  </w:r>
                </w:p>
              </w:tc>
              <w:tc>
                <w:tcPr>
                  <w:tcW w:w="660" w:type="pct"/>
                  <w:vMerge w:val="restart"/>
                  <w:vAlign w:val="center"/>
                </w:tcPr>
                <w:p>
                  <w:pPr>
                    <w:pStyle w:val="50"/>
                    <w:spacing w:beforeLines="0" w:afterLines="0" w:line="240" w:lineRule="auto"/>
                    <w:rPr>
                      <w:rFonts w:ascii="Times New Roman"/>
                      <w:bCs/>
                      <w:szCs w:val="21"/>
                    </w:rPr>
                  </w:pPr>
                  <w:r>
                    <w:rPr>
                      <w:rFonts w:ascii="Times New Roman"/>
                      <w:bCs/>
                      <w:szCs w:val="21"/>
                    </w:rPr>
                    <w:t>50</w:t>
                  </w:r>
                </w:p>
              </w:tc>
              <w:tc>
                <w:tcPr>
                  <w:tcW w:w="860" w:type="pct"/>
                  <w:vMerge w:val="restart"/>
                  <w:vAlign w:val="center"/>
                </w:tcPr>
                <w:p>
                  <w:pPr>
                    <w:pStyle w:val="50"/>
                    <w:spacing w:beforeLines="0" w:afterLines="0" w:line="240" w:lineRule="auto"/>
                    <w:rPr>
                      <w:bCs/>
                      <w:szCs w:val="21"/>
                    </w:rPr>
                  </w:pPr>
                  <w:r>
                    <w:rPr>
                      <w:rFonts w:ascii="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vAlign w:val="center"/>
                </w:tcPr>
                <w:p>
                  <w:pPr>
                    <w:pStyle w:val="50"/>
                    <w:spacing w:beforeLines="0" w:afterLines="0" w:line="240" w:lineRule="auto"/>
                    <w:rPr>
                      <w:rFonts w:ascii="Times New Roman"/>
                      <w:bCs/>
                      <w:szCs w:val="21"/>
                    </w:rPr>
                  </w:pPr>
                  <w:r>
                    <w:rPr>
                      <w:rFonts w:hint="eastAsia" w:ascii="Times New Roman"/>
                      <w:bCs/>
                      <w:szCs w:val="21"/>
                    </w:rPr>
                    <w:t>南</w:t>
                  </w:r>
                  <w:r>
                    <w:rPr>
                      <w:rFonts w:ascii="Times New Roman"/>
                      <w:bCs/>
                      <w:szCs w:val="21"/>
                    </w:rPr>
                    <w:t>侧厂界</w:t>
                  </w:r>
                </w:p>
              </w:tc>
              <w:tc>
                <w:tcPr>
                  <w:tcW w:w="930" w:type="pct"/>
                  <w:vAlign w:val="center"/>
                </w:tcPr>
                <w:p>
                  <w:pPr>
                    <w:pStyle w:val="50"/>
                    <w:spacing w:beforeLines="0" w:afterLines="0" w:line="240" w:lineRule="auto"/>
                    <w:rPr>
                      <w:rFonts w:ascii="Times New Roman"/>
                      <w:bCs/>
                      <w:szCs w:val="21"/>
                    </w:rPr>
                  </w:pPr>
                  <w:r>
                    <w:rPr>
                      <w:rFonts w:ascii="Times New Roman"/>
                      <w:bCs/>
                      <w:szCs w:val="21"/>
                    </w:rPr>
                    <w:t>45</w:t>
                  </w:r>
                </w:p>
              </w:tc>
              <w:tc>
                <w:tcPr>
                  <w:tcW w:w="732" w:type="pct"/>
                  <w:vMerge w:val="continue"/>
                  <w:vAlign w:val="center"/>
                </w:tcPr>
                <w:p>
                  <w:pPr>
                    <w:pStyle w:val="50"/>
                    <w:spacing w:beforeLines="0" w:afterLines="0" w:line="240" w:lineRule="auto"/>
                    <w:rPr>
                      <w:rFonts w:ascii="Times New Roman"/>
                      <w:bCs/>
                      <w:szCs w:val="21"/>
                    </w:rPr>
                  </w:pPr>
                </w:p>
              </w:tc>
              <w:tc>
                <w:tcPr>
                  <w:tcW w:w="678" w:type="pct"/>
                  <w:vMerge w:val="continue"/>
                  <w:vAlign w:val="center"/>
                </w:tcPr>
                <w:p>
                  <w:pPr>
                    <w:pStyle w:val="50"/>
                    <w:spacing w:beforeLines="0" w:afterLines="0" w:line="240" w:lineRule="auto"/>
                    <w:rPr>
                      <w:rFonts w:ascii="Times New Roman"/>
                      <w:bCs/>
                      <w:szCs w:val="21"/>
                    </w:rPr>
                  </w:pPr>
                </w:p>
              </w:tc>
              <w:tc>
                <w:tcPr>
                  <w:tcW w:w="660" w:type="pct"/>
                  <w:vMerge w:val="continue"/>
                  <w:vAlign w:val="center"/>
                </w:tcPr>
                <w:p>
                  <w:pPr>
                    <w:pStyle w:val="50"/>
                    <w:spacing w:beforeLines="0" w:afterLines="0" w:line="240" w:lineRule="auto"/>
                    <w:rPr>
                      <w:rFonts w:ascii="Times New Roman"/>
                      <w:bCs/>
                      <w:szCs w:val="21"/>
                    </w:rPr>
                  </w:pPr>
                </w:p>
              </w:tc>
              <w:tc>
                <w:tcPr>
                  <w:tcW w:w="860" w:type="pct"/>
                  <w:vMerge w:val="continue"/>
                  <w:vAlign w:val="center"/>
                </w:tcPr>
                <w:p>
                  <w:pPr>
                    <w:pStyle w:val="50"/>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vAlign w:val="center"/>
                </w:tcPr>
                <w:p>
                  <w:pPr>
                    <w:pStyle w:val="50"/>
                    <w:spacing w:beforeLines="0" w:afterLines="0" w:line="240" w:lineRule="auto"/>
                    <w:rPr>
                      <w:rFonts w:ascii="Times New Roman"/>
                      <w:bCs/>
                      <w:szCs w:val="21"/>
                    </w:rPr>
                  </w:pPr>
                  <w:r>
                    <w:rPr>
                      <w:rFonts w:hint="eastAsia" w:ascii="Times New Roman"/>
                      <w:bCs/>
                      <w:szCs w:val="21"/>
                    </w:rPr>
                    <w:t>西</w:t>
                  </w:r>
                  <w:r>
                    <w:rPr>
                      <w:rFonts w:ascii="Times New Roman"/>
                      <w:bCs/>
                      <w:szCs w:val="21"/>
                    </w:rPr>
                    <w:t>侧厂界</w:t>
                  </w:r>
                </w:p>
              </w:tc>
              <w:tc>
                <w:tcPr>
                  <w:tcW w:w="930" w:type="pct"/>
                  <w:vAlign w:val="center"/>
                </w:tcPr>
                <w:p>
                  <w:pPr>
                    <w:pStyle w:val="50"/>
                    <w:spacing w:beforeLines="0" w:afterLines="0" w:line="240" w:lineRule="auto"/>
                    <w:rPr>
                      <w:rFonts w:ascii="Times New Roman"/>
                      <w:bCs/>
                      <w:szCs w:val="21"/>
                    </w:rPr>
                  </w:pPr>
                  <w:r>
                    <w:rPr>
                      <w:rFonts w:ascii="Times New Roman"/>
                      <w:bCs/>
                      <w:szCs w:val="21"/>
                    </w:rPr>
                    <w:t>20</w:t>
                  </w:r>
                </w:p>
              </w:tc>
              <w:tc>
                <w:tcPr>
                  <w:tcW w:w="732" w:type="pct"/>
                  <w:vMerge w:val="continue"/>
                  <w:vAlign w:val="center"/>
                </w:tcPr>
                <w:p>
                  <w:pPr>
                    <w:pStyle w:val="50"/>
                    <w:spacing w:beforeLines="0" w:afterLines="0" w:line="240" w:lineRule="auto"/>
                    <w:rPr>
                      <w:rFonts w:ascii="Times New Roman"/>
                      <w:bCs/>
                      <w:szCs w:val="21"/>
                    </w:rPr>
                  </w:pPr>
                </w:p>
              </w:tc>
              <w:tc>
                <w:tcPr>
                  <w:tcW w:w="678" w:type="pct"/>
                  <w:vMerge w:val="continue"/>
                  <w:vAlign w:val="center"/>
                </w:tcPr>
                <w:p>
                  <w:pPr>
                    <w:pStyle w:val="50"/>
                    <w:spacing w:beforeLines="0" w:afterLines="0" w:line="240" w:lineRule="auto"/>
                    <w:rPr>
                      <w:rFonts w:ascii="Times New Roman"/>
                      <w:bCs/>
                      <w:szCs w:val="21"/>
                    </w:rPr>
                  </w:pPr>
                </w:p>
              </w:tc>
              <w:tc>
                <w:tcPr>
                  <w:tcW w:w="660" w:type="pct"/>
                  <w:vMerge w:val="continue"/>
                  <w:vAlign w:val="center"/>
                </w:tcPr>
                <w:p>
                  <w:pPr>
                    <w:pStyle w:val="50"/>
                    <w:spacing w:beforeLines="0" w:afterLines="0" w:line="240" w:lineRule="auto"/>
                    <w:rPr>
                      <w:rFonts w:ascii="Times New Roman"/>
                      <w:bCs/>
                      <w:szCs w:val="21"/>
                    </w:rPr>
                  </w:pPr>
                </w:p>
              </w:tc>
              <w:tc>
                <w:tcPr>
                  <w:tcW w:w="860" w:type="pct"/>
                  <w:vMerge w:val="continue"/>
                  <w:vAlign w:val="center"/>
                </w:tcPr>
                <w:p>
                  <w:pPr>
                    <w:pStyle w:val="50"/>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vAlign w:val="center"/>
                </w:tcPr>
                <w:p>
                  <w:pPr>
                    <w:pStyle w:val="50"/>
                    <w:spacing w:beforeLines="0" w:afterLines="0" w:line="240" w:lineRule="auto"/>
                    <w:rPr>
                      <w:rFonts w:ascii="Times New Roman"/>
                      <w:bCs/>
                      <w:szCs w:val="21"/>
                    </w:rPr>
                  </w:pPr>
                  <w:r>
                    <w:rPr>
                      <w:rFonts w:ascii="Times New Roman"/>
                      <w:bCs/>
                      <w:szCs w:val="21"/>
                    </w:rPr>
                    <w:t>北侧厂界</w:t>
                  </w:r>
                </w:p>
              </w:tc>
              <w:tc>
                <w:tcPr>
                  <w:tcW w:w="930" w:type="pct"/>
                  <w:vAlign w:val="center"/>
                </w:tcPr>
                <w:p>
                  <w:pPr>
                    <w:pStyle w:val="50"/>
                    <w:spacing w:beforeLines="0" w:afterLines="0" w:line="240" w:lineRule="auto"/>
                    <w:rPr>
                      <w:rFonts w:ascii="Times New Roman"/>
                      <w:bCs/>
                      <w:szCs w:val="21"/>
                    </w:rPr>
                  </w:pPr>
                  <w:r>
                    <w:rPr>
                      <w:rFonts w:ascii="Times New Roman"/>
                      <w:bCs/>
                      <w:szCs w:val="21"/>
                    </w:rPr>
                    <w:t>43</w:t>
                  </w:r>
                </w:p>
              </w:tc>
              <w:tc>
                <w:tcPr>
                  <w:tcW w:w="732" w:type="pct"/>
                  <w:vMerge w:val="continue"/>
                  <w:vAlign w:val="center"/>
                </w:tcPr>
                <w:p>
                  <w:pPr>
                    <w:pStyle w:val="50"/>
                    <w:spacing w:beforeLines="0" w:afterLines="0" w:line="240" w:lineRule="auto"/>
                    <w:rPr>
                      <w:rFonts w:ascii="Times New Roman"/>
                      <w:bCs/>
                      <w:szCs w:val="21"/>
                    </w:rPr>
                  </w:pPr>
                </w:p>
              </w:tc>
              <w:tc>
                <w:tcPr>
                  <w:tcW w:w="678" w:type="pct"/>
                  <w:vMerge w:val="continue"/>
                  <w:vAlign w:val="center"/>
                </w:tcPr>
                <w:p>
                  <w:pPr>
                    <w:pStyle w:val="50"/>
                    <w:spacing w:beforeLines="0" w:afterLines="0" w:line="240" w:lineRule="auto"/>
                    <w:rPr>
                      <w:rFonts w:ascii="Times New Roman"/>
                      <w:bCs/>
                      <w:szCs w:val="21"/>
                    </w:rPr>
                  </w:pPr>
                </w:p>
              </w:tc>
              <w:tc>
                <w:tcPr>
                  <w:tcW w:w="660" w:type="pct"/>
                  <w:vMerge w:val="continue"/>
                  <w:vAlign w:val="center"/>
                </w:tcPr>
                <w:p>
                  <w:pPr>
                    <w:pStyle w:val="50"/>
                    <w:spacing w:beforeLines="0" w:afterLines="0" w:line="240" w:lineRule="auto"/>
                    <w:rPr>
                      <w:rFonts w:ascii="Times New Roman"/>
                      <w:bCs/>
                      <w:szCs w:val="21"/>
                    </w:rPr>
                  </w:pPr>
                </w:p>
              </w:tc>
              <w:tc>
                <w:tcPr>
                  <w:tcW w:w="860" w:type="pct"/>
                  <w:vMerge w:val="continue"/>
                  <w:vAlign w:val="center"/>
                </w:tcPr>
                <w:p>
                  <w:pPr>
                    <w:pStyle w:val="50"/>
                    <w:spacing w:beforeLines="0" w:afterLines="0" w:line="240" w:lineRule="auto"/>
                    <w:rPr>
                      <w:rFonts w:ascii="Times New Roman"/>
                      <w:bCs/>
                      <w:szCs w:val="21"/>
                    </w:rPr>
                  </w:pPr>
                </w:p>
              </w:tc>
            </w:tr>
          </w:tbl>
          <w:p>
            <w:pPr>
              <w:widowControl/>
              <w:ind w:firstLine="482" w:firstLineChars="200"/>
              <w:jc w:val="center"/>
              <w:rPr>
                <w:kern w:val="0"/>
                <w:sz w:val="24"/>
              </w:rPr>
            </w:pPr>
            <w:r>
              <w:rPr>
                <w:b/>
                <w:kern w:val="0"/>
                <w:sz w:val="24"/>
                <w:szCs w:val="20"/>
                <w:lang w:bidi="ar"/>
              </w:rPr>
              <w:t>表</w:t>
            </w:r>
            <w:r>
              <w:rPr>
                <w:rFonts w:hint="eastAsia"/>
                <w:b/>
                <w:kern w:val="0"/>
                <w:sz w:val="24"/>
                <w:szCs w:val="20"/>
                <w:lang w:bidi="ar"/>
              </w:rPr>
              <w:t>4-</w:t>
            </w:r>
            <w:r>
              <w:rPr>
                <w:b/>
                <w:kern w:val="0"/>
                <w:sz w:val="24"/>
                <w:szCs w:val="20"/>
                <w:lang w:bidi="ar"/>
              </w:rPr>
              <w:t>10  项目</w:t>
            </w:r>
            <w:r>
              <w:rPr>
                <w:rFonts w:hint="eastAsia"/>
                <w:b/>
                <w:kern w:val="0"/>
                <w:sz w:val="24"/>
                <w:szCs w:val="20"/>
                <w:lang w:bidi="ar"/>
              </w:rPr>
              <w:t>敏感第</w:t>
            </w:r>
            <w:r>
              <w:rPr>
                <w:b/>
                <w:kern w:val="0"/>
                <w:sz w:val="24"/>
                <w:szCs w:val="20"/>
                <w:lang w:bidi="ar"/>
              </w:rPr>
              <w:t>噪声预测结果  单位：dB(A)</w:t>
            </w:r>
            <w:r>
              <w:rPr>
                <w:kern w:val="0"/>
                <w:sz w:val="24"/>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6"/>
              <w:gridCol w:w="1510"/>
              <w:gridCol w:w="812"/>
              <w:gridCol w:w="839"/>
              <w:gridCol w:w="834"/>
              <w:gridCol w:w="836"/>
              <w:gridCol w:w="836"/>
              <w:gridCol w:w="694"/>
              <w:gridCol w:w="555"/>
              <w:gridCol w:w="69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44" w:type="pct"/>
                  <w:gridSpan w:val="2"/>
                  <w:vMerge w:val="restart"/>
                  <w:vAlign w:val="center"/>
                </w:tcPr>
                <w:p>
                  <w:pPr>
                    <w:pStyle w:val="50"/>
                    <w:spacing w:before="24" w:after="24"/>
                    <w:rPr>
                      <w:rFonts w:ascii="Times New Roman"/>
                      <w:b/>
                      <w:bCs/>
                      <w:szCs w:val="21"/>
                    </w:rPr>
                  </w:pPr>
                  <w:r>
                    <w:rPr>
                      <w:rFonts w:ascii="Times New Roman"/>
                      <w:b/>
                      <w:bCs/>
                      <w:szCs w:val="21"/>
                    </w:rPr>
                    <w:t>测点位置</w:t>
                  </w:r>
                </w:p>
              </w:tc>
              <w:tc>
                <w:tcPr>
                  <w:tcW w:w="480" w:type="pct"/>
                  <w:vMerge w:val="restart"/>
                  <w:vAlign w:val="center"/>
                </w:tcPr>
                <w:p>
                  <w:pPr>
                    <w:pStyle w:val="50"/>
                    <w:spacing w:before="24" w:after="24"/>
                    <w:rPr>
                      <w:rFonts w:ascii="Times New Roman"/>
                      <w:b/>
                      <w:bCs/>
                      <w:szCs w:val="21"/>
                    </w:rPr>
                  </w:pPr>
                  <w:r>
                    <w:rPr>
                      <w:rFonts w:ascii="Times New Roman"/>
                      <w:b/>
                      <w:bCs/>
                      <w:szCs w:val="21"/>
                    </w:rPr>
                    <w:t>贡献值</w:t>
                  </w:r>
                </w:p>
              </w:tc>
              <w:tc>
                <w:tcPr>
                  <w:tcW w:w="989" w:type="pct"/>
                  <w:gridSpan w:val="2"/>
                  <w:vAlign w:val="center"/>
                </w:tcPr>
                <w:p>
                  <w:pPr>
                    <w:pStyle w:val="50"/>
                    <w:spacing w:before="24" w:after="24"/>
                    <w:rPr>
                      <w:rFonts w:ascii="Times New Roman"/>
                      <w:b/>
                      <w:bCs/>
                      <w:szCs w:val="21"/>
                    </w:rPr>
                  </w:pPr>
                  <w:r>
                    <w:rPr>
                      <w:rFonts w:hint="eastAsia" w:ascii="Times New Roman"/>
                      <w:b/>
                      <w:bCs/>
                      <w:szCs w:val="21"/>
                    </w:rPr>
                    <w:t>背景值</w:t>
                  </w:r>
                </w:p>
              </w:tc>
              <w:tc>
                <w:tcPr>
                  <w:tcW w:w="988" w:type="pct"/>
                  <w:gridSpan w:val="2"/>
                  <w:vAlign w:val="center"/>
                </w:tcPr>
                <w:p>
                  <w:pPr>
                    <w:pStyle w:val="50"/>
                    <w:spacing w:before="24" w:after="24"/>
                    <w:rPr>
                      <w:rFonts w:ascii="Times New Roman"/>
                      <w:b/>
                      <w:bCs/>
                      <w:szCs w:val="21"/>
                    </w:rPr>
                  </w:pPr>
                  <w:r>
                    <w:rPr>
                      <w:rFonts w:hint="eastAsia" w:ascii="Times New Roman"/>
                      <w:b/>
                      <w:bCs/>
                      <w:szCs w:val="21"/>
                    </w:rPr>
                    <w:t>预测值</w:t>
                  </w:r>
                </w:p>
              </w:tc>
              <w:tc>
                <w:tcPr>
                  <w:tcW w:w="410" w:type="pct"/>
                  <w:vAlign w:val="center"/>
                </w:tcPr>
                <w:p>
                  <w:pPr>
                    <w:pStyle w:val="50"/>
                    <w:spacing w:before="24" w:after="24"/>
                    <w:rPr>
                      <w:rFonts w:ascii="Times New Roman"/>
                      <w:b/>
                      <w:bCs/>
                      <w:szCs w:val="21"/>
                    </w:rPr>
                  </w:pPr>
                  <w:r>
                    <w:rPr>
                      <w:rFonts w:ascii="Times New Roman"/>
                      <w:b/>
                      <w:bCs/>
                      <w:szCs w:val="21"/>
                    </w:rPr>
                    <w:t>标准值</w:t>
                  </w:r>
                </w:p>
              </w:tc>
              <w:tc>
                <w:tcPr>
                  <w:tcW w:w="328" w:type="pct"/>
                  <w:vMerge w:val="restart"/>
                  <w:vAlign w:val="center"/>
                </w:tcPr>
                <w:p>
                  <w:pPr>
                    <w:pStyle w:val="50"/>
                    <w:spacing w:before="24" w:after="24"/>
                    <w:rPr>
                      <w:rFonts w:ascii="Times New Roman"/>
                      <w:b/>
                      <w:bCs/>
                      <w:szCs w:val="21"/>
                    </w:rPr>
                  </w:pPr>
                  <w:r>
                    <w:rPr>
                      <w:rFonts w:ascii="Times New Roman"/>
                      <w:b/>
                      <w:bCs/>
                      <w:szCs w:val="21"/>
                    </w:rPr>
                    <w:t>达标情况</w:t>
                  </w:r>
                </w:p>
              </w:tc>
              <w:tc>
                <w:tcPr>
                  <w:tcW w:w="410" w:type="pct"/>
                  <w:vAlign w:val="center"/>
                </w:tcPr>
                <w:p>
                  <w:pPr>
                    <w:pStyle w:val="50"/>
                    <w:spacing w:before="24" w:after="24"/>
                    <w:rPr>
                      <w:rFonts w:ascii="Times New Roman"/>
                      <w:b/>
                      <w:bCs/>
                      <w:szCs w:val="21"/>
                    </w:rPr>
                  </w:pPr>
                  <w:r>
                    <w:rPr>
                      <w:rFonts w:ascii="Times New Roman"/>
                      <w:b/>
                      <w:bCs/>
                      <w:szCs w:val="21"/>
                    </w:rPr>
                    <w:t>标准值</w:t>
                  </w:r>
                </w:p>
              </w:tc>
              <w:tc>
                <w:tcPr>
                  <w:tcW w:w="251" w:type="pct"/>
                  <w:vMerge w:val="restart"/>
                  <w:vAlign w:val="center"/>
                </w:tcPr>
                <w:p>
                  <w:pPr>
                    <w:pStyle w:val="50"/>
                    <w:spacing w:before="24" w:after="24"/>
                    <w:rPr>
                      <w:rFonts w:ascii="Times New Roman"/>
                      <w:b/>
                      <w:bCs/>
                      <w:szCs w:val="21"/>
                    </w:rPr>
                  </w:pPr>
                  <w:r>
                    <w:rPr>
                      <w:rFonts w:ascii="Times New Roman"/>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44" w:type="pct"/>
                  <w:gridSpan w:val="2"/>
                  <w:vMerge w:val="continue"/>
                  <w:vAlign w:val="center"/>
                </w:tcPr>
                <w:p>
                  <w:pPr>
                    <w:pStyle w:val="50"/>
                    <w:spacing w:before="24" w:after="24"/>
                    <w:rPr>
                      <w:rFonts w:ascii="Times New Roman"/>
                      <w:b/>
                      <w:bCs/>
                      <w:szCs w:val="21"/>
                    </w:rPr>
                  </w:pPr>
                </w:p>
              </w:tc>
              <w:tc>
                <w:tcPr>
                  <w:tcW w:w="480" w:type="pct"/>
                  <w:vMerge w:val="continue"/>
                  <w:vAlign w:val="center"/>
                </w:tcPr>
                <w:p>
                  <w:pPr>
                    <w:pStyle w:val="50"/>
                    <w:spacing w:before="24" w:after="24"/>
                    <w:rPr>
                      <w:rFonts w:ascii="Times New Roman"/>
                      <w:b/>
                      <w:bCs/>
                      <w:szCs w:val="21"/>
                    </w:rPr>
                  </w:pPr>
                </w:p>
              </w:tc>
              <w:tc>
                <w:tcPr>
                  <w:tcW w:w="496" w:type="pct"/>
                  <w:vAlign w:val="center"/>
                </w:tcPr>
                <w:p>
                  <w:pPr>
                    <w:pStyle w:val="50"/>
                    <w:spacing w:before="24" w:after="24"/>
                    <w:rPr>
                      <w:rFonts w:ascii="Times New Roman"/>
                      <w:b/>
                      <w:bCs/>
                      <w:szCs w:val="21"/>
                    </w:rPr>
                  </w:pPr>
                  <w:r>
                    <w:rPr>
                      <w:rFonts w:hint="eastAsia" w:ascii="Times New Roman"/>
                      <w:b/>
                      <w:bCs/>
                      <w:szCs w:val="21"/>
                    </w:rPr>
                    <w:t>昼间</w:t>
                  </w:r>
                </w:p>
              </w:tc>
              <w:tc>
                <w:tcPr>
                  <w:tcW w:w="493" w:type="pct"/>
                  <w:vAlign w:val="center"/>
                </w:tcPr>
                <w:p>
                  <w:pPr>
                    <w:pStyle w:val="50"/>
                    <w:spacing w:before="24" w:after="24"/>
                    <w:rPr>
                      <w:rFonts w:ascii="Times New Roman"/>
                      <w:b/>
                      <w:bCs/>
                      <w:szCs w:val="21"/>
                    </w:rPr>
                  </w:pPr>
                  <w:r>
                    <w:rPr>
                      <w:rFonts w:hint="eastAsia" w:ascii="Times New Roman"/>
                      <w:b/>
                      <w:bCs/>
                      <w:szCs w:val="21"/>
                    </w:rPr>
                    <w:t>夜间</w:t>
                  </w:r>
                </w:p>
              </w:tc>
              <w:tc>
                <w:tcPr>
                  <w:tcW w:w="494" w:type="pct"/>
                  <w:vAlign w:val="center"/>
                </w:tcPr>
                <w:p>
                  <w:pPr>
                    <w:pStyle w:val="50"/>
                    <w:spacing w:before="24" w:after="24"/>
                    <w:rPr>
                      <w:rFonts w:ascii="Times New Roman"/>
                      <w:b/>
                      <w:bCs/>
                      <w:szCs w:val="21"/>
                    </w:rPr>
                  </w:pPr>
                  <w:r>
                    <w:rPr>
                      <w:rFonts w:hint="eastAsia" w:ascii="Times New Roman"/>
                      <w:b/>
                      <w:bCs/>
                      <w:szCs w:val="21"/>
                    </w:rPr>
                    <w:t>昼间</w:t>
                  </w:r>
                </w:p>
              </w:tc>
              <w:tc>
                <w:tcPr>
                  <w:tcW w:w="494" w:type="pct"/>
                  <w:vAlign w:val="center"/>
                </w:tcPr>
                <w:p>
                  <w:pPr>
                    <w:pStyle w:val="50"/>
                    <w:spacing w:before="24" w:after="24"/>
                    <w:rPr>
                      <w:rFonts w:ascii="Times New Roman"/>
                      <w:b/>
                      <w:bCs/>
                      <w:szCs w:val="21"/>
                    </w:rPr>
                  </w:pPr>
                  <w:r>
                    <w:rPr>
                      <w:rFonts w:hint="eastAsia" w:ascii="Times New Roman"/>
                      <w:b/>
                      <w:bCs/>
                      <w:szCs w:val="21"/>
                    </w:rPr>
                    <w:t>夜间</w:t>
                  </w:r>
                </w:p>
              </w:tc>
              <w:tc>
                <w:tcPr>
                  <w:tcW w:w="410" w:type="pct"/>
                  <w:vAlign w:val="center"/>
                </w:tcPr>
                <w:p>
                  <w:pPr>
                    <w:pStyle w:val="50"/>
                    <w:spacing w:before="24" w:after="24"/>
                    <w:rPr>
                      <w:rFonts w:ascii="Times New Roman"/>
                      <w:b/>
                      <w:bCs/>
                      <w:szCs w:val="21"/>
                    </w:rPr>
                  </w:pPr>
                  <w:r>
                    <w:rPr>
                      <w:rFonts w:ascii="Times New Roman"/>
                      <w:b/>
                      <w:bCs/>
                      <w:szCs w:val="21"/>
                    </w:rPr>
                    <w:t>昼间</w:t>
                  </w:r>
                </w:p>
              </w:tc>
              <w:tc>
                <w:tcPr>
                  <w:tcW w:w="328" w:type="pct"/>
                  <w:vMerge w:val="continue"/>
                  <w:vAlign w:val="center"/>
                </w:tcPr>
                <w:p>
                  <w:pPr>
                    <w:pStyle w:val="50"/>
                    <w:spacing w:before="24" w:after="24"/>
                    <w:rPr>
                      <w:rFonts w:ascii="Times New Roman"/>
                      <w:b/>
                      <w:bCs/>
                      <w:szCs w:val="21"/>
                    </w:rPr>
                  </w:pPr>
                </w:p>
              </w:tc>
              <w:tc>
                <w:tcPr>
                  <w:tcW w:w="410" w:type="pct"/>
                  <w:vAlign w:val="center"/>
                </w:tcPr>
                <w:p>
                  <w:pPr>
                    <w:pStyle w:val="50"/>
                    <w:spacing w:before="24" w:after="24"/>
                    <w:rPr>
                      <w:rFonts w:ascii="Times New Roman"/>
                      <w:b/>
                      <w:bCs/>
                      <w:szCs w:val="21"/>
                    </w:rPr>
                  </w:pPr>
                  <w:r>
                    <w:rPr>
                      <w:rFonts w:ascii="Times New Roman"/>
                      <w:b/>
                      <w:bCs/>
                      <w:szCs w:val="21"/>
                    </w:rPr>
                    <w:t>夜间</w:t>
                  </w:r>
                </w:p>
              </w:tc>
              <w:tc>
                <w:tcPr>
                  <w:tcW w:w="251" w:type="pct"/>
                  <w:vMerge w:val="continue"/>
                  <w:vAlign w:val="center"/>
                </w:tcPr>
                <w:p>
                  <w:pPr>
                    <w:pStyle w:val="50"/>
                    <w:spacing w:before="24" w:after="24"/>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restart"/>
                  <w:vAlign w:val="center"/>
                </w:tcPr>
                <w:p>
                  <w:pPr>
                    <w:pStyle w:val="50"/>
                    <w:spacing w:before="24" w:after="24"/>
                    <w:rPr>
                      <w:rFonts w:ascii="Times New Roman"/>
                      <w:bCs/>
                      <w:szCs w:val="21"/>
                    </w:rPr>
                  </w:pPr>
                  <w:r>
                    <w:rPr>
                      <w:rFonts w:hint="eastAsia" w:ascii="Times New Roman"/>
                      <w:bCs/>
                      <w:szCs w:val="21"/>
                    </w:rPr>
                    <w:t>敏感点</w:t>
                  </w:r>
                </w:p>
              </w:tc>
              <w:tc>
                <w:tcPr>
                  <w:tcW w:w="892" w:type="pct"/>
                  <w:vAlign w:val="center"/>
                </w:tcPr>
                <w:p>
                  <w:pPr>
                    <w:widowControl/>
                    <w:snapToGrid w:val="0"/>
                    <w:jc w:val="center"/>
                    <w:rPr>
                      <w:kern w:val="0"/>
                      <w:szCs w:val="21"/>
                    </w:rPr>
                  </w:pPr>
                  <w:r>
                    <w:rPr>
                      <w:rFonts w:hint="eastAsia"/>
                      <w:szCs w:val="21"/>
                    </w:rPr>
                    <w:t>水浇湾村居民点1</w:t>
                  </w:r>
                </w:p>
              </w:tc>
              <w:tc>
                <w:tcPr>
                  <w:tcW w:w="480" w:type="pct"/>
                  <w:vAlign w:val="center"/>
                </w:tcPr>
                <w:p>
                  <w:pPr>
                    <w:pStyle w:val="50"/>
                    <w:spacing w:before="24" w:after="24"/>
                    <w:rPr>
                      <w:rFonts w:ascii="Times New Roman"/>
                      <w:bCs/>
                      <w:szCs w:val="21"/>
                    </w:rPr>
                  </w:pPr>
                  <w:r>
                    <w:rPr>
                      <w:rFonts w:ascii="Times New Roman"/>
                      <w:bCs/>
                      <w:szCs w:val="21"/>
                    </w:rPr>
                    <w:t>25</w:t>
                  </w:r>
                </w:p>
              </w:tc>
              <w:tc>
                <w:tcPr>
                  <w:tcW w:w="496" w:type="pct"/>
                  <w:vAlign w:val="center"/>
                </w:tcPr>
                <w:p>
                  <w:pPr>
                    <w:widowControl/>
                    <w:snapToGrid w:val="0"/>
                    <w:jc w:val="center"/>
                    <w:rPr>
                      <w:kern w:val="0"/>
                      <w:szCs w:val="21"/>
                    </w:rPr>
                  </w:pPr>
                  <w:r>
                    <w:rPr>
                      <w:rFonts w:hint="eastAsia"/>
                      <w:kern w:val="0"/>
                      <w:szCs w:val="21"/>
                    </w:rPr>
                    <w:t>50</w:t>
                  </w:r>
                </w:p>
              </w:tc>
              <w:tc>
                <w:tcPr>
                  <w:tcW w:w="493" w:type="pct"/>
                  <w:vAlign w:val="center"/>
                </w:tcPr>
                <w:p>
                  <w:pPr>
                    <w:widowControl/>
                    <w:snapToGrid w:val="0"/>
                    <w:jc w:val="center"/>
                    <w:rPr>
                      <w:kern w:val="0"/>
                      <w:szCs w:val="21"/>
                    </w:rPr>
                  </w:pPr>
                  <w:r>
                    <w:rPr>
                      <w:rFonts w:hint="eastAsia"/>
                      <w:kern w:val="0"/>
                      <w:szCs w:val="21"/>
                    </w:rPr>
                    <w:t>40</w:t>
                  </w:r>
                </w:p>
              </w:tc>
              <w:tc>
                <w:tcPr>
                  <w:tcW w:w="494" w:type="pct"/>
                  <w:vAlign w:val="center"/>
                </w:tcPr>
                <w:p>
                  <w:pPr>
                    <w:pStyle w:val="50"/>
                    <w:spacing w:before="24" w:after="24"/>
                    <w:rPr>
                      <w:rFonts w:ascii="Times New Roman"/>
                      <w:bCs/>
                      <w:szCs w:val="21"/>
                    </w:rPr>
                  </w:pPr>
                  <w:r>
                    <w:rPr>
                      <w:rFonts w:hint="eastAsia" w:ascii="Times New Roman"/>
                      <w:bCs/>
                      <w:szCs w:val="21"/>
                    </w:rPr>
                    <w:t>50</w:t>
                  </w:r>
                </w:p>
              </w:tc>
              <w:tc>
                <w:tcPr>
                  <w:tcW w:w="494" w:type="pct"/>
                  <w:vAlign w:val="center"/>
                </w:tcPr>
                <w:p>
                  <w:pPr>
                    <w:pStyle w:val="50"/>
                    <w:spacing w:before="24" w:after="24"/>
                    <w:rPr>
                      <w:rFonts w:ascii="Times New Roman"/>
                      <w:bCs/>
                      <w:szCs w:val="21"/>
                    </w:rPr>
                  </w:pPr>
                  <w:r>
                    <w:rPr>
                      <w:rFonts w:hint="eastAsia" w:ascii="Times New Roman"/>
                      <w:bCs/>
                      <w:szCs w:val="21"/>
                    </w:rPr>
                    <w:t>40</w:t>
                  </w:r>
                </w:p>
              </w:tc>
              <w:tc>
                <w:tcPr>
                  <w:tcW w:w="410" w:type="pct"/>
                  <w:vMerge w:val="restart"/>
                  <w:vAlign w:val="center"/>
                </w:tcPr>
                <w:p>
                  <w:pPr>
                    <w:pStyle w:val="50"/>
                    <w:spacing w:before="24" w:after="24"/>
                    <w:rPr>
                      <w:rFonts w:ascii="Times New Roman"/>
                      <w:bCs/>
                      <w:szCs w:val="21"/>
                    </w:rPr>
                  </w:pPr>
                  <w:r>
                    <w:rPr>
                      <w:rFonts w:hint="eastAsia" w:ascii="Times New Roman"/>
                      <w:bCs/>
                      <w:szCs w:val="21"/>
                    </w:rPr>
                    <w:t>6</w:t>
                  </w:r>
                  <w:r>
                    <w:rPr>
                      <w:rFonts w:ascii="Times New Roman"/>
                      <w:bCs/>
                      <w:szCs w:val="21"/>
                    </w:rPr>
                    <w:t>0</w:t>
                  </w:r>
                </w:p>
              </w:tc>
              <w:tc>
                <w:tcPr>
                  <w:tcW w:w="328" w:type="pct"/>
                  <w:vMerge w:val="continue"/>
                  <w:vAlign w:val="center"/>
                </w:tcPr>
                <w:p>
                  <w:pPr>
                    <w:pStyle w:val="50"/>
                    <w:spacing w:before="24" w:after="24"/>
                    <w:rPr>
                      <w:rFonts w:ascii="Times New Roman"/>
                      <w:bCs/>
                      <w:szCs w:val="21"/>
                    </w:rPr>
                  </w:pPr>
                </w:p>
              </w:tc>
              <w:tc>
                <w:tcPr>
                  <w:tcW w:w="410" w:type="pct"/>
                  <w:vMerge w:val="restart"/>
                  <w:vAlign w:val="center"/>
                </w:tcPr>
                <w:p>
                  <w:pPr>
                    <w:pStyle w:val="50"/>
                    <w:spacing w:before="24" w:after="24"/>
                    <w:rPr>
                      <w:rFonts w:ascii="Times New Roman"/>
                      <w:bCs/>
                      <w:szCs w:val="21"/>
                    </w:rPr>
                  </w:pPr>
                  <w:r>
                    <w:rPr>
                      <w:rFonts w:hint="eastAsia" w:ascii="Times New Roman"/>
                      <w:bCs/>
                      <w:szCs w:val="21"/>
                    </w:rPr>
                    <w:t>5</w:t>
                  </w:r>
                  <w:r>
                    <w:rPr>
                      <w:rFonts w:ascii="Times New Roman"/>
                      <w:bCs/>
                      <w:szCs w:val="21"/>
                    </w:rPr>
                    <w:t>0</w:t>
                  </w:r>
                </w:p>
              </w:tc>
              <w:tc>
                <w:tcPr>
                  <w:tcW w:w="251" w:type="pct"/>
                  <w:vMerge w:val="continue"/>
                  <w:vAlign w:val="center"/>
                </w:tcPr>
                <w:p>
                  <w:pPr>
                    <w:pStyle w:val="50"/>
                    <w:spacing w:before="24" w:after="24"/>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vAlign w:val="center"/>
                </w:tcPr>
                <w:p>
                  <w:pPr>
                    <w:pStyle w:val="50"/>
                    <w:spacing w:before="24" w:after="24"/>
                    <w:rPr>
                      <w:rFonts w:ascii="Times New Roman"/>
                      <w:bCs/>
                      <w:szCs w:val="21"/>
                    </w:rPr>
                  </w:pPr>
                </w:p>
              </w:tc>
              <w:tc>
                <w:tcPr>
                  <w:tcW w:w="892" w:type="pct"/>
                  <w:vAlign w:val="center"/>
                </w:tcPr>
                <w:p>
                  <w:pPr>
                    <w:widowControl/>
                    <w:snapToGrid w:val="0"/>
                    <w:jc w:val="center"/>
                    <w:rPr>
                      <w:rFonts w:cs="宋体"/>
                      <w:kern w:val="0"/>
                      <w:szCs w:val="21"/>
                      <w:lang w:bidi="ar"/>
                    </w:rPr>
                  </w:pPr>
                  <w:r>
                    <w:rPr>
                      <w:rFonts w:hint="eastAsia"/>
                      <w:szCs w:val="21"/>
                    </w:rPr>
                    <w:t>水浇湾村居民点</w:t>
                  </w:r>
                  <w:r>
                    <w:rPr>
                      <w:szCs w:val="21"/>
                    </w:rPr>
                    <w:t>2</w:t>
                  </w:r>
                </w:p>
              </w:tc>
              <w:tc>
                <w:tcPr>
                  <w:tcW w:w="480" w:type="pct"/>
                  <w:vAlign w:val="center"/>
                </w:tcPr>
                <w:p>
                  <w:pPr>
                    <w:pStyle w:val="50"/>
                    <w:spacing w:before="24" w:after="24"/>
                    <w:rPr>
                      <w:rFonts w:ascii="Times New Roman"/>
                      <w:bCs/>
                      <w:szCs w:val="21"/>
                    </w:rPr>
                  </w:pPr>
                  <w:r>
                    <w:rPr>
                      <w:rFonts w:ascii="Times New Roman"/>
                      <w:bCs/>
                      <w:szCs w:val="21"/>
                    </w:rPr>
                    <w:t>30</w:t>
                  </w:r>
                </w:p>
              </w:tc>
              <w:tc>
                <w:tcPr>
                  <w:tcW w:w="496" w:type="pct"/>
                  <w:vAlign w:val="center"/>
                </w:tcPr>
                <w:p>
                  <w:pPr>
                    <w:widowControl/>
                    <w:snapToGrid w:val="0"/>
                    <w:jc w:val="center"/>
                    <w:rPr>
                      <w:kern w:val="0"/>
                      <w:szCs w:val="21"/>
                    </w:rPr>
                  </w:pPr>
                  <w:r>
                    <w:rPr>
                      <w:rFonts w:hint="eastAsia"/>
                      <w:kern w:val="0"/>
                      <w:szCs w:val="21"/>
                    </w:rPr>
                    <w:t>51</w:t>
                  </w:r>
                </w:p>
              </w:tc>
              <w:tc>
                <w:tcPr>
                  <w:tcW w:w="493" w:type="pct"/>
                  <w:vAlign w:val="center"/>
                </w:tcPr>
                <w:p>
                  <w:pPr>
                    <w:widowControl/>
                    <w:snapToGrid w:val="0"/>
                    <w:jc w:val="center"/>
                    <w:rPr>
                      <w:kern w:val="0"/>
                      <w:szCs w:val="21"/>
                    </w:rPr>
                  </w:pPr>
                  <w:r>
                    <w:rPr>
                      <w:rFonts w:hint="eastAsia"/>
                      <w:kern w:val="0"/>
                      <w:szCs w:val="21"/>
                    </w:rPr>
                    <w:t>39</w:t>
                  </w:r>
                </w:p>
              </w:tc>
              <w:tc>
                <w:tcPr>
                  <w:tcW w:w="494" w:type="pct"/>
                  <w:vAlign w:val="center"/>
                </w:tcPr>
                <w:p>
                  <w:pPr>
                    <w:pStyle w:val="50"/>
                    <w:spacing w:before="24" w:after="24"/>
                    <w:rPr>
                      <w:rFonts w:ascii="Times New Roman"/>
                      <w:bCs/>
                      <w:szCs w:val="21"/>
                    </w:rPr>
                  </w:pPr>
                  <w:r>
                    <w:rPr>
                      <w:rFonts w:ascii="Times New Roman"/>
                      <w:szCs w:val="21"/>
                    </w:rPr>
                    <w:t>51</w:t>
                  </w:r>
                </w:p>
              </w:tc>
              <w:tc>
                <w:tcPr>
                  <w:tcW w:w="494" w:type="pct"/>
                  <w:vAlign w:val="center"/>
                </w:tcPr>
                <w:p>
                  <w:pPr>
                    <w:pStyle w:val="50"/>
                    <w:spacing w:before="24" w:after="24"/>
                    <w:rPr>
                      <w:rFonts w:ascii="Times New Roman"/>
                      <w:bCs/>
                      <w:szCs w:val="21"/>
                    </w:rPr>
                  </w:pPr>
                  <w:r>
                    <w:rPr>
                      <w:rFonts w:ascii="Times New Roman"/>
                      <w:szCs w:val="21"/>
                    </w:rPr>
                    <w:t>40</w:t>
                  </w:r>
                </w:p>
              </w:tc>
              <w:tc>
                <w:tcPr>
                  <w:tcW w:w="410" w:type="pct"/>
                  <w:vMerge w:val="continue"/>
                  <w:vAlign w:val="center"/>
                </w:tcPr>
                <w:p>
                  <w:pPr>
                    <w:pStyle w:val="50"/>
                    <w:spacing w:before="24" w:after="24"/>
                    <w:rPr>
                      <w:rFonts w:ascii="Times New Roman"/>
                      <w:bCs/>
                      <w:szCs w:val="21"/>
                    </w:rPr>
                  </w:pPr>
                </w:p>
              </w:tc>
              <w:tc>
                <w:tcPr>
                  <w:tcW w:w="328" w:type="pct"/>
                  <w:vMerge w:val="continue"/>
                  <w:vAlign w:val="center"/>
                </w:tcPr>
                <w:p>
                  <w:pPr>
                    <w:pStyle w:val="50"/>
                    <w:spacing w:before="24" w:after="24"/>
                    <w:rPr>
                      <w:rFonts w:ascii="Times New Roman"/>
                      <w:bCs/>
                      <w:szCs w:val="21"/>
                    </w:rPr>
                  </w:pPr>
                </w:p>
              </w:tc>
              <w:tc>
                <w:tcPr>
                  <w:tcW w:w="410" w:type="pct"/>
                  <w:vMerge w:val="continue"/>
                  <w:vAlign w:val="center"/>
                </w:tcPr>
                <w:p>
                  <w:pPr>
                    <w:pStyle w:val="50"/>
                    <w:spacing w:before="24" w:after="24"/>
                    <w:rPr>
                      <w:rFonts w:ascii="Times New Roman"/>
                      <w:bCs/>
                      <w:szCs w:val="21"/>
                    </w:rPr>
                  </w:pPr>
                </w:p>
              </w:tc>
              <w:tc>
                <w:tcPr>
                  <w:tcW w:w="251" w:type="pct"/>
                  <w:vMerge w:val="continue"/>
                  <w:vAlign w:val="center"/>
                </w:tcPr>
                <w:p>
                  <w:pPr>
                    <w:pStyle w:val="50"/>
                    <w:spacing w:before="24" w:after="24"/>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vAlign w:val="center"/>
                </w:tcPr>
                <w:p>
                  <w:pPr>
                    <w:pStyle w:val="50"/>
                    <w:spacing w:before="24" w:after="24"/>
                    <w:rPr>
                      <w:rFonts w:ascii="Times New Roman"/>
                      <w:bCs/>
                      <w:szCs w:val="21"/>
                    </w:rPr>
                  </w:pPr>
                </w:p>
              </w:tc>
              <w:tc>
                <w:tcPr>
                  <w:tcW w:w="892" w:type="pct"/>
                  <w:vAlign w:val="center"/>
                </w:tcPr>
                <w:p>
                  <w:pPr>
                    <w:widowControl/>
                    <w:snapToGrid w:val="0"/>
                    <w:jc w:val="center"/>
                    <w:rPr>
                      <w:rFonts w:cs="宋体"/>
                      <w:kern w:val="0"/>
                      <w:szCs w:val="21"/>
                      <w:lang w:bidi="ar"/>
                    </w:rPr>
                  </w:pPr>
                  <w:r>
                    <w:rPr>
                      <w:rFonts w:hint="eastAsia"/>
                      <w:szCs w:val="21"/>
                    </w:rPr>
                    <w:t>水浇湾村居民点</w:t>
                  </w:r>
                  <w:r>
                    <w:rPr>
                      <w:szCs w:val="21"/>
                    </w:rPr>
                    <w:t>3</w:t>
                  </w:r>
                </w:p>
              </w:tc>
              <w:tc>
                <w:tcPr>
                  <w:tcW w:w="480" w:type="pct"/>
                  <w:vAlign w:val="center"/>
                </w:tcPr>
                <w:p>
                  <w:pPr>
                    <w:pStyle w:val="50"/>
                    <w:spacing w:before="24" w:after="24"/>
                    <w:rPr>
                      <w:rFonts w:ascii="Times New Roman"/>
                      <w:bCs/>
                      <w:szCs w:val="21"/>
                    </w:rPr>
                  </w:pPr>
                  <w:r>
                    <w:rPr>
                      <w:rFonts w:ascii="Times New Roman"/>
                      <w:bCs/>
                      <w:szCs w:val="21"/>
                    </w:rPr>
                    <w:t>10</w:t>
                  </w:r>
                </w:p>
              </w:tc>
              <w:tc>
                <w:tcPr>
                  <w:tcW w:w="496" w:type="pct"/>
                  <w:vAlign w:val="center"/>
                </w:tcPr>
                <w:p>
                  <w:pPr>
                    <w:widowControl/>
                    <w:snapToGrid w:val="0"/>
                    <w:jc w:val="center"/>
                    <w:rPr>
                      <w:kern w:val="0"/>
                      <w:szCs w:val="21"/>
                    </w:rPr>
                  </w:pPr>
                  <w:r>
                    <w:rPr>
                      <w:rFonts w:hint="eastAsia"/>
                      <w:kern w:val="0"/>
                      <w:szCs w:val="21"/>
                    </w:rPr>
                    <w:t>50</w:t>
                  </w:r>
                </w:p>
              </w:tc>
              <w:tc>
                <w:tcPr>
                  <w:tcW w:w="493" w:type="pct"/>
                  <w:vAlign w:val="center"/>
                </w:tcPr>
                <w:p>
                  <w:pPr>
                    <w:widowControl/>
                    <w:snapToGrid w:val="0"/>
                    <w:jc w:val="center"/>
                    <w:rPr>
                      <w:kern w:val="0"/>
                      <w:szCs w:val="21"/>
                    </w:rPr>
                  </w:pPr>
                  <w:r>
                    <w:rPr>
                      <w:rFonts w:hint="eastAsia"/>
                      <w:kern w:val="0"/>
                      <w:szCs w:val="21"/>
                    </w:rPr>
                    <w:t>40</w:t>
                  </w:r>
                </w:p>
              </w:tc>
              <w:tc>
                <w:tcPr>
                  <w:tcW w:w="494" w:type="pct"/>
                  <w:vAlign w:val="center"/>
                </w:tcPr>
                <w:p>
                  <w:pPr>
                    <w:pStyle w:val="50"/>
                    <w:spacing w:before="24" w:after="24"/>
                    <w:rPr>
                      <w:rFonts w:ascii="Times New Roman"/>
                      <w:bCs/>
                      <w:szCs w:val="21"/>
                    </w:rPr>
                  </w:pPr>
                  <w:r>
                    <w:rPr>
                      <w:rFonts w:hint="eastAsia" w:ascii="Times New Roman"/>
                      <w:bCs/>
                      <w:szCs w:val="21"/>
                    </w:rPr>
                    <w:t>50</w:t>
                  </w:r>
                </w:p>
              </w:tc>
              <w:tc>
                <w:tcPr>
                  <w:tcW w:w="494" w:type="pct"/>
                  <w:vAlign w:val="center"/>
                </w:tcPr>
                <w:p>
                  <w:pPr>
                    <w:pStyle w:val="50"/>
                    <w:spacing w:before="24" w:after="24"/>
                    <w:rPr>
                      <w:rFonts w:ascii="Times New Roman"/>
                      <w:bCs/>
                      <w:szCs w:val="21"/>
                    </w:rPr>
                  </w:pPr>
                  <w:r>
                    <w:rPr>
                      <w:rFonts w:hint="eastAsia" w:ascii="Times New Roman"/>
                      <w:bCs/>
                      <w:szCs w:val="21"/>
                    </w:rPr>
                    <w:t>40</w:t>
                  </w:r>
                </w:p>
              </w:tc>
              <w:tc>
                <w:tcPr>
                  <w:tcW w:w="410" w:type="pct"/>
                  <w:vMerge w:val="continue"/>
                  <w:vAlign w:val="center"/>
                </w:tcPr>
                <w:p>
                  <w:pPr>
                    <w:pStyle w:val="50"/>
                    <w:spacing w:before="24" w:after="24"/>
                    <w:rPr>
                      <w:rFonts w:ascii="Times New Roman"/>
                      <w:bCs/>
                      <w:szCs w:val="21"/>
                    </w:rPr>
                  </w:pPr>
                </w:p>
              </w:tc>
              <w:tc>
                <w:tcPr>
                  <w:tcW w:w="328" w:type="pct"/>
                  <w:vMerge w:val="continue"/>
                  <w:vAlign w:val="center"/>
                </w:tcPr>
                <w:p>
                  <w:pPr>
                    <w:pStyle w:val="50"/>
                    <w:spacing w:before="24" w:after="24"/>
                    <w:rPr>
                      <w:rFonts w:ascii="Times New Roman"/>
                      <w:bCs/>
                      <w:szCs w:val="21"/>
                    </w:rPr>
                  </w:pPr>
                </w:p>
              </w:tc>
              <w:tc>
                <w:tcPr>
                  <w:tcW w:w="410" w:type="pct"/>
                  <w:vMerge w:val="continue"/>
                  <w:vAlign w:val="center"/>
                </w:tcPr>
                <w:p>
                  <w:pPr>
                    <w:pStyle w:val="50"/>
                    <w:spacing w:before="24" w:after="24"/>
                    <w:rPr>
                      <w:rFonts w:ascii="Times New Roman"/>
                      <w:bCs/>
                      <w:szCs w:val="21"/>
                    </w:rPr>
                  </w:pPr>
                </w:p>
              </w:tc>
              <w:tc>
                <w:tcPr>
                  <w:tcW w:w="251" w:type="pct"/>
                  <w:vMerge w:val="continue"/>
                  <w:vAlign w:val="center"/>
                </w:tcPr>
                <w:p>
                  <w:pPr>
                    <w:pStyle w:val="50"/>
                    <w:spacing w:before="24" w:after="24"/>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vAlign w:val="center"/>
                </w:tcPr>
                <w:p>
                  <w:pPr>
                    <w:pStyle w:val="50"/>
                    <w:spacing w:before="24" w:after="24"/>
                    <w:rPr>
                      <w:rFonts w:ascii="Times New Roman"/>
                      <w:bCs/>
                      <w:szCs w:val="21"/>
                    </w:rPr>
                  </w:pPr>
                </w:p>
              </w:tc>
              <w:tc>
                <w:tcPr>
                  <w:tcW w:w="892" w:type="pct"/>
                  <w:vAlign w:val="center"/>
                </w:tcPr>
                <w:p>
                  <w:pPr>
                    <w:widowControl/>
                    <w:snapToGrid w:val="0"/>
                    <w:jc w:val="center"/>
                    <w:rPr>
                      <w:rFonts w:cs="宋体"/>
                      <w:kern w:val="0"/>
                      <w:szCs w:val="21"/>
                      <w:lang w:bidi="ar"/>
                    </w:rPr>
                  </w:pPr>
                  <w:r>
                    <w:rPr>
                      <w:rFonts w:hint="eastAsia"/>
                      <w:szCs w:val="21"/>
                    </w:rPr>
                    <w:t>水浇湾村居民点</w:t>
                  </w:r>
                  <w:r>
                    <w:rPr>
                      <w:szCs w:val="21"/>
                    </w:rPr>
                    <w:t>4</w:t>
                  </w:r>
                </w:p>
              </w:tc>
              <w:tc>
                <w:tcPr>
                  <w:tcW w:w="480" w:type="pct"/>
                  <w:vAlign w:val="center"/>
                </w:tcPr>
                <w:p>
                  <w:pPr>
                    <w:pStyle w:val="50"/>
                    <w:spacing w:before="24" w:after="24"/>
                    <w:rPr>
                      <w:rFonts w:ascii="Times New Roman"/>
                      <w:bCs/>
                      <w:szCs w:val="21"/>
                    </w:rPr>
                  </w:pPr>
                  <w:r>
                    <w:rPr>
                      <w:rFonts w:ascii="Times New Roman"/>
                      <w:bCs/>
                      <w:szCs w:val="21"/>
                    </w:rPr>
                    <w:t>34</w:t>
                  </w:r>
                </w:p>
              </w:tc>
              <w:tc>
                <w:tcPr>
                  <w:tcW w:w="496" w:type="pct"/>
                  <w:vAlign w:val="center"/>
                </w:tcPr>
                <w:p>
                  <w:pPr>
                    <w:widowControl/>
                    <w:snapToGrid w:val="0"/>
                    <w:jc w:val="center"/>
                    <w:rPr>
                      <w:kern w:val="0"/>
                      <w:szCs w:val="21"/>
                    </w:rPr>
                  </w:pPr>
                  <w:r>
                    <w:rPr>
                      <w:rFonts w:hint="eastAsia"/>
                      <w:kern w:val="0"/>
                      <w:szCs w:val="21"/>
                    </w:rPr>
                    <w:t>53</w:t>
                  </w:r>
                </w:p>
              </w:tc>
              <w:tc>
                <w:tcPr>
                  <w:tcW w:w="493" w:type="pct"/>
                  <w:vAlign w:val="center"/>
                </w:tcPr>
                <w:p>
                  <w:pPr>
                    <w:widowControl/>
                    <w:snapToGrid w:val="0"/>
                    <w:jc w:val="center"/>
                    <w:rPr>
                      <w:kern w:val="0"/>
                      <w:szCs w:val="21"/>
                    </w:rPr>
                  </w:pPr>
                  <w:r>
                    <w:rPr>
                      <w:rFonts w:hint="eastAsia"/>
                      <w:kern w:val="0"/>
                      <w:szCs w:val="21"/>
                    </w:rPr>
                    <w:t>40</w:t>
                  </w:r>
                </w:p>
              </w:tc>
              <w:tc>
                <w:tcPr>
                  <w:tcW w:w="494" w:type="pct"/>
                  <w:vAlign w:val="center"/>
                </w:tcPr>
                <w:p>
                  <w:pPr>
                    <w:pStyle w:val="50"/>
                    <w:spacing w:before="24" w:after="24"/>
                    <w:rPr>
                      <w:rFonts w:ascii="Times New Roman"/>
                      <w:bCs/>
                      <w:szCs w:val="21"/>
                    </w:rPr>
                  </w:pPr>
                  <w:r>
                    <w:rPr>
                      <w:rFonts w:hint="eastAsia" w:ascii="Times New Roman"/>
                      <w:bCs/>
                      <w:szCs w:val="21"/>
                    </w:rPr>
                    <w:t>53</w:t>
                  </w:r>
                </w:p>
              </w:tc>
              <w:tc>
                <w:tcPr>
                  <w:tcW w:w="494" w:type="pct"/>
                  <w:vAlign w:val="center"/>
                </w:tcPr>
                <w:p>
                  <w:pPr>
                    <w:pStyle w:val="50"/>
                    <w:spacing w:before="24" w:after="24"/>
                    <w:rPr>
                      <w:rFonts w:ascii="Times New Roman"/>
                      <w:bCs/>
                      <w:szCs w:val="21"/>
                    </w:rPr>
                  </w:pPr>
                  <w:r>
                    <w:rPr>
                      <w:rFonts w:ascii="Times New Roman"/>
                      <w:bCs/>
                      <w:szCs w:val="21"/>
                    </w:rPr>
                    <w:t>41</w:t>
                  </w:r>
                </w:p>
              </w:tc>
              <w:tc>
                <w:tcPr>
                  <w:tcW w:w="410" w:type="pct"/>
                  <w:vMerge w:val="continue"/>
                  <w:vAlign w:val="center"/>
                </w:tcPr>
                <w:p>
                  <w:pPr>
                    <w:pStyle w:val="50"/>
                    <w:spacing w:before="24" w:after="24"/>
                    <w:rPr>
                      <w:rFonts w:ascii="Times New Roman"/>
                      <w:bCs/>
                      <w:szCs w:val="21"/>
                    </w:rPr>
                  </w:pPr>
                </w:p>
              </w:tc>
              <w:tc>
                <w:tcPr>
                  <w:tcW w:w="328" w:type="pct"/>
                  <w:vMerge w:val="continue"/>
                  <w:vAlign w:val="center"/>
                </w:tcPr>
                <w:p>
                  <w:pPr>
                    <w:pStyle w:val="50"/>
                    <w:spacing w:before="24" w:after="24"/>
                    <w:rPr>
                      <w:rFonts w:ascii="Times New Roman"/>
                      <w:bCs/>
                      <w:szCs w:val="21"/>
                    </w:rPr>
                  </w:pPr>
                </w:p>
              </w:tc>
              <w:tc>
                <w:tcPr>
                  <w:tcW w:w="410" w:type="pct"/>
                  <w:vMerge w:val="continue"/>
                  <w:vAlign w:val="center"/>
                </w:tcPr>
                <w:p>
                  <w:pPr>
                    <w:pStyle w:val="50"/>
                    <w:spacing w:before="24" w:after="24"/>
                    <w:rPr>
                      <w:rFonts w:ascii="Times New Roman"/>
                      <w:bCs/>
                      <w:szCs w:val="21"/>
                    </w:rPr>
                  </w:pPr>
                </w:p>
              </w:tc>
              <w:tc>
                <w:tcPr>
                  <w:tcW w:w="251" w:type="pct"/>
                  <w:vMerge w:val="continue"/>
                  <w:vAlign w:val="center"/>
                </w:tcPr>
                <w:p>
                  <w:pPr>
                    <w:pStyle w:val="50"/>
                    <w:spacing w:before="24" w:after="24"/>
                    <w:rPr>
                      <w:rFonts w:ascii="Times New Roman"/>
                      <w:bCs/>
                      <w:szCs w:val="21"/>
                    </w:rPr>
                  </w:pPr>
                </w:p>
              </w:tc>
            </w:tr>
          </w:tbl>
          <w:p>
            <w:pPr>
              <w:widowControl/>
              <w:spacing w:line="360" w:lineRule="auto"/>
              <w:ind w:firstLine="480" w:firstLineChars="200"/>
            </w:pPr>
            <w:r>
              <w:rPr>
                <w:kern w:val="24"/>
                <w:sz w:val="24"/>
                <w:lang w:bidi="ar"/>
              </w:rPr>
              <w:t>由预测结果可见，在采取措施后，本项目</w:t>
            </w:r>
            <w:r>
              <w:rPr>
                <w:rFonts w:hint="eastAsia"/>
                <w:kern w:val="24"/>
                <w:sz w:val="24"/>
                <w:lang w:bidi="ar"/>
              </w:rPr>
              <w:t>厂界噪声</w:t>
            </w:r>
            <w:r>
              <w:rPr>
                <w:kern w:val="24"/>
                <w:sz w:val="24"/>
                <w:lang w:bidi="ar"/>
              </w:rPr>
              <w:t>可满足</w:t>
            </w:r>
            <w:r>
              <w:rPr>
                <w:rFonts w:hint="eastAsia"/>
                <w:sz w:val="24"/>
              </w:rPr>
              <w:t>《工业企业厂界环境噪声排放标准》（GB</w:t>
            </w:r>
            <w:r>
              <w:rPr>
                <w:sz w:val="24"/>
              </w:rPr>
              <w:t>12348</w:t>
            </w:r>
            <w:r>
              <w:rPr>
                <w:rFonts w:hint="eastAsia"/>
                <w:sz w:val="24"/>
              </w:rPr>
              <w:t>-2008）2类标准</w:t>
            </w:r>
            <w:r>
              <w:rPr>
                <w:kern w:val="24"/>
                <w:sz w:val="24"/>
                <w:lang w:bidi="ar"/>
              </w:rPr>
              <w:t>；敏感点处预测值可满足《声环境质量标准》（GB3096-2008）中2类</w:t>
            </w:r>
            <w:r>
              <w:rPr>
                <w:rFonts w:hint="eastAsia"/>
                <w:kern w:val="24"/>
                <w:sz w:val="24"/>
                <w:lang w:bidi="ar"/>
              </w:rPr>
              <w:t>标准</w:t>
            </w:r>
            <w:r>
              <w:rPr>
                <w:kern w:val="24"/>
                <w:sz w:val="24"/>
                <w:lang w:bidi="ar"/>
              </w:rPr>
              <w:t>要求。</w:t>
            </w:r>
          </w:p>
          <w:p>
            <w:pPr>
              <w:widowControl/>
              <w:spacing w:line="360" w:lineRule="auto"/>
              <w:ind w:firstLine="480" w:firstLineChars="200"/>
              <w:rPr>
                <w:kern w:val="0"/>
                <w:sz w:val="24"/>
              </w:rPr>
            </w:pPr>
            <w:r>
              <w:rPr>
                <w:kern w:val="0"/>
                <w:sz w:val="24"/>
              </w:rPr>
              <w:t>（4）措施可行性分析</w:t>
            </w:r>
          </w:p>
          <w:p>
            <w:pPr>
              <w:widowControl/>
              <w:spacing w:line="360" w:lineRule="auto"/>
              <w:ind w:firstLine="480" w:firstLineChars="200"/>
              <w:rPr>
                <w:kern w:val="0"/>
                <w:sz w:val="24"/>
              </w:rPr>
            </w:pPr>
            <w:r>
              <w:rPr>
                <w:kern w:val="0"/>
                <w:sz w:val="24"/>
              </w:rPr>
              <w:t>项目主要噪声防治措施如下：</w:t>
            </w:r>
          </w:p>
          <w:p>
            <w:pPr>
              <w:widowControl/>
              <w:spacing w:line="360" w:lineRule="auto"/>
              <w:ind w:firstLine="480" w:firstLineChars="200"/>
              <w:rPr>
                <w:kern w:val="0"/>
                <w:sz w:val="24"/>
              </w:rPr>
            </w:pPr>
            <w:r>
              <w:rPr>
                <w:kern w:val="0"/>
                <w:sz w:val="24"/>
              </w:rPr>
              <w:fldChar w:fldCharType="begin"/>
            </w:r>
            <w:r>
              <w:rPr>
                <w:kern w:val="0"/>
                <w:sz w:val="24"/>
              </w:rPr>
              <w:instrText xml:space="preserve"> = 1 \* GB3 \* MERGEFORMAT </w:instrText>
            </w:r>
            <w:r>
              <w:rPr>
                <w:kern w:val="0"/>
                <w:sz w:val="24"/>
              </w:rPr>
              <w:fldChar w:fldCharType="separate"/>
            </w:r>
            <w:r>
              <w:rPr>
                <w:kern w:val="0"/>
                <w:sz w:val="24"/>
              </w:rPr>
              <w:t>①</w:t>
            </w:r>
            <w:r>
              <w:rPr>
                <w:kern w:val="0"/>
                <w:sz w:val="24"/>
              </w:rPr>
              <w:fldChar w:fldCharType="end"/>
            </w:r>
            <w:r>
              <w:rPr>
                <w:kern w:val="0"/>
                <w:sz w:val="24"/>
              </w:rPr>
              <w:t xml:space="preserve"> 采用符合国家标准的设备</w:t>
            </w:r>
            <w:r>
              <w:rPr>
                <w:rFonts w:hint="eastAsia"/>
                <w:kern w:val="0"/>
                <w:sz w:val="24"/>
              </w:rPr>
              <w:t>，选择低噪声设备</w:t>
            </w:r>
            <w:r>
              <w:rPr>
                <w:kern w:val="0"/>
                <w:sz w:val="24"/>
              </w:rPr>
              <w:t>；</w:t>
            </w:r>
          </w:p>
          <w:p>
            <w:pPr>
              <w:widowControl/>
              <w:spacing w:line="360" w:lineRule="auto"/>
              <w:ind w:firstLine="480" w:firstLineChars="200"/>
              <w:rPr>
                <w:kern w:val="0"/>
                <w:sz w:val="24"/>
              </w:rPr>
            </w:pPr>
            <w:r>
              <w:rPr>
                <w:kern w:val="0"/>
                <w:sz w:val="24"/>
              </w:rPr>
              <w:fldChar w:fldCharType="begin"/>
            </w:r>
            <w:r>
              <w:rPr>
                <w:kern w:val="0"/>
                <w:sz w:val="24"/>
              </w:rPr>
              <w:instrText xml:space="preserve"> = 2 \* GB3 \* MERGEFORMAT </w:instrText>
            </w:r>
            <w:r>
              <w:rPr>
                <w:kern w:val="0"/>
                <w:sz w:val="24"/>
              </w:rPr>
              <w:fldChar w:fldCharType="separate"/>
            </w:r>
            <w:r>
              <w:rPr>
                <w:kern w:val="0"/>
                <w:sz w:val="24"/>
              </w:rPr>
              <w:t>②</w:t>
            </w:r>
            <w:r>
              <w:rPr>
                <w:kern w:val="0"/>
                <w:sz w:val="24"/>
              </w:rPr>
              <w:fldChar w:fldCharType="end"/>
            </w:r>
            <w:r>
              <w:rPr>
                <w:kern w:val="0"/>
                <w:sz w:val="24"/>
              </w:rPr>
              <w:t xml:space="preserve"> 水泵、</w:t>
            </w:r>
            <w:r>
              <w:rPr>
                <w:rFonts w:hint="eastAsia"/>
                <w:kern w:val="0"/>
                <w:sz w:val="24"/>
              </w:rPr>
              <w:t>污泥泵、风机</w:t>
            </w:r>
            <w:r>
              <w:rPr>
                <w:kern w:val="0"/>
                <w:sz w:val="24"/>
              </w:rPr>
              <w:t>等高噪声采取隔声和减振措施，泵进出口设软胶接头、消声缓闭止回阀，泵出口管道上设吊架减振器、托架减振器等减振设施；</w:t>
            </w:r>
          </w:p>
          <w:p>
            <w:pPr>
              <w:widowControl/>
              <w:spacing w:line="360" w:lineRule="auto"/>
              <w:ind w:firstLine="480" w:firstLineChars="200"/>
              <w:rPr>
                <w:kern w:val="0"/>
                <w:sz w:val="24"/>
              </w:rPr>
            </w:pPr>
            <w:r>
              <w:rPr>
                <w:kern w:val="0"/>
                <w:sz w:val="24"/>
              </w:rPr>
              <w:t>③ 合理布局，将噪声源强较高的设备布置尽量远离楼体边界，加大噪声的距离衰减；</w:t>
            </w:r>
          </w:p>
          <w:p>
            <w:pPr>
              <w:widowControl/>
              <w:spacing w:line="360" w:lineRule="auto"/>
              <w:ind w:firstLine="480" w:firstLineChars="200"/>
              <w:rPr>
                <w:kern w:val="0"/>
                <w:sz w:val="24"/>
              </w:rPr>
            </w:pPr>
            <w:r>
              <w:rPr>
                <w:kern w:val="0"/>
                <w:sz w:val="24"/>
              </w:rPr>
              <w:t>④ 加强设备的维护，确保设备处于良好的运转状态，杜绝因设备不正常运转时产生的高噪声现象。</w:t>
            </w:r>
          </w:p>
          <w:p>
            <w:pPr>
              <w:widowControl/>
              <w:spacing w:line="360" w:lineRule="auto"/>
              <w:ind w:firstLine="480" w:firstLineChars="200"/>
              <w:rPr>
                <w:kern w:val="0"/>
                <w:sz w:val="24"/>
              </w:rPr>
            </w:pPr>
            <w:r>
              <w:rPr>
                <w:kern w:val="0"/>
                <w:sz w:val="24"/>
              </w:rPr>
              <w:t>综上，项目采取有效防治措施后可有效降低设施设备对边界声环境的影响，其措施可行。</w:t>
            </w:r>
          </w:p>
          <w:p>
            <w:pPr>
              <w:widowControl/>
              <w:spacing w:line="360" w:lineRule="auto"/>
              <w:ind w:firstLine="480" w:firstLineChars="200"/>
              <w:contextualSpacing/>
              <w:rPr>
                <w:sz w:val="24"/>
              </w:rPr>
            </w:pPr>
            <w:r>
              <w:rPr>
                <w:sz w:val="24"/>
              </w:rPr>
              <w:t>（5）监测要求</w:t>
            </w:r>
          </w:p>
          <w:p>
            <w:pPr>
              <w:widowControl/>
              <w:spacing w:line="360" w:lineRule="auto"/>
              <w:ind w:firstLine="480" w:firstLineChars="200"/>
              <w:contextualSpacing/>
              <w:rPr>
                <w:rFonts w:hint="eastAsia"/>
                <w:sz w:val="24"/>
              </w:rPr>
            </w:pPr>
            <w:r>
              <w:rPr>
                <w:sz w:val="24"/>
              </w:rPr>
              <w:t>参照《排污单位自行监测技术指南 总则》（HJ819-2017）中规定的要求，本项目噪声监测计划见表</w:t>
            </w:r>
            <w:r>
              <w:rPr>
                <w:rFonts w:hint="eastAsia"/>
                <w:sz w:val="24"/>
              </w:rPr>
              <w:t>4-</w:t>
            </w:r>
            <w:r>
              <w:rPr>
                <w:sz w:val="24"/>
              </w:rPr>
              <w:t>11。</w:t>
            </w:r>
          </w:p>
          <w:p>
            <w:pPr>
              <w:widowControl/>
              <w:spacing w:line="360" w:lineRule="auto"/>
              <w:ind w:firstLine="480" w:firstLineChars="200"/>
              <w:contextualSpacing/>
              <w:rPr>
                <w:rFonts w:hint="eastAsia"/>
                <w:sz w:val="24"/>
              </w:rPr>
            </w:pPr>
          </w:p>
          <w:p>
            <w:pPr>
              <w:widowControl/>
              <w:spacing w:line="360" w:lineRule="auto"/>
              <w:ind w:firstLine="480" w:firstLineChars="200"/>
              <w:contextualSpacing/>
              <w:rPr>
                <w:rFonts w:hint="eastAsia"/>
                <w:sz w:val="24"/>
              </w:rPr>
            </w:pPr>
          </w:p>
          <w:p>
            <w:pPr>
              <w:widowControl/>
              <w:spacing w:line="360" w:lineRule="auto"/>
              <w:ind w:firstLine="480" w:firstLineChars="200"/>
              <w:contextualSpacing/>
              <w:rPr>
                <w:rFonts w:hint="eastAsia"/>
                <w:sz w:val="24"/>
              </w:rPr>
            </w:pPr>
          </w:p>
          <w:p>
            <w:pPr>
              <w:widowControl/>
              <w:spacing w:line="360" w:lineRule="auto"/>
              <w:ind w:firstLine="480" w:firstLineChars="200"/>
              <w:contextualSpacing/>
              <w:rPr>
                <w:sz w:val="24"/>
              </w:rPr>
            </w:pPr>
          </w:p>
          <w:p>
            <w:pPr>
              <w:widowControl/>
              <w:snapToGrid w:val="0"/>
              <w:jc w:val="center"/>
              <w:rPr>
                <w:b/>
                <w:snapToGrid w:val="0"/>
                <w:kern w:val="0"/>
                <w:sz w:val="24"/>
              </w:rPr>
            </w:pPr>
            <w:r>
              <w:rPr>
                <w:b/>
                <w:snapToGrid w:val="0"/>
                <w:kern w:val="0"/>
                <w:sz w:val="24"/>
              </w:rPr>
              <w:t>表</w:t>
            </w:r>
            <w:r>
              <w:rPr>
                <w:rFonts w:hint="eastAsia"/>
                <w:b/>
                <w:snapToGrid w:val="0"/>
                <w:kern w:val="0"/>
                <w:sz w:val="24"/>
              </w:rPr>
              <w:t>4-</w:t>
            </w:r>
            <w:r>
              <w:rPr>
                <w:b/>
                <w:snapToGrid w:val="0"/>
                <w:kern w:val="0"/>
                <w:sz w:val="24"/>
              </w:rPr>
              <w:t>11    噪声监测内容及计划表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420"/>
              <w:gridCol w:w="1970"/>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pct"/>
                  <w:vAlign w:val="center"/>
                </w:tcPr>
                <w:p>
                  <w:pPr>
                    <w:snapToGrid w:val="0"/>
                    <w:jc w:val="center"/>
                    <w:rPr>
                      <w:b/>
                      <w:szCs w:val="21"/>
                    </w:rPr>
                  </w:pPr>
                  <w:r>
                    <w:rPr>
                      <w:b/>
                      <w:szCs w:val="21"/>
                    </w:rPr>
                    <w:t>监测点位</w:t>
                  </w:r>
                </w:p>
              </w:tc>
              <w:tc>
                <w:tcPr>
                  <w:tcW w:w="839" w:type="pct"/>
                  <w:vAlign w:val="center"/>
                </w:tcPr>
                <w:p>
                  <w:pPr>
                    <w:snapToGrid w:val="0"/>
                    <w:jc w:val="center"/>
                    <w:rPr>
                      <w:b/>
                      <w:szCs w:val="21"/>
                    </w:rPr>
                  </w:pPr>
                  <w:r>
                    <w:rPr>
                      <w:b/>
                      <w:szCs w:val="21"/>
                    </w:rPr>
                    <w:t>监测因子</w:t>
                  </w:r>
                </w:p>
              </w:tc>
              <w:tc>
                <w:tcPr>
                  <w:tcW w:w="1164" w:type="pct"/>
                  <w:vAlign w:val="center"/>
                </w:tcPr>
                <w:p>
                  <w:pPr>
                    <w:snapToGrid w:val="0"/>
                    <w:jc w:val="center"/>
                    <w:rPr>
                      <w:b/>
                      <w:szCs w:val="21"/>
                    </w:rPr>
                  </w:pPr>
                  <w:r>
                    <w:rPr>
                      <w:b/>
                      <w:szCs w:val="21"/>
                    </w:rPr>
                    <w:t>监测频次</w:t>
                  </w:r>
                </w:p>
              </w:tc>
              <w:tc>
                <w:tcPr>
                  <w:tcW w:w="2269" w:type="pct"/>
                  <w:vAlign w:val="center"/>
                </w:tcPr>
                <w:p>
                  <w:pPr>
                    <w:snapToGrid w:val="0"/>
                    <w:jc w:val="center"/>
                    <w:rPr>
                      <w:b/>
                      <w:szCs w:val="21"/>
                    </w:rPr>
                  </w:pPr>
                  <w:r>
                    <w:rPr>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pct"/>
                  <w:vAlign w:val="center"/>
                </w:tcPr>
                <w:p>
                  <w:pPr>
                    <w:snapToGrid w:val="0"/>
                    <w:jc w:val="center"/>
                  </w:pPr>
                  <w:r>
                    <w:t>厂界四周</w:t>
                  </w:r>
                </w:p>
              </w:tc>
              <w:tc>
                <w:tcPr>
                  <w:tcW w:w="839" w:type="pct"/>
                  <w:vMerge w:val="restart"/>
                  <w:vAlign w:val="center"/>
                </w:tcPr>
                <w:p>
                  <w:pPr>
                    <w:snapToGrid w:val="0"/>
                    <w:jc w:val="center"/>
                  </w:pPr>
                  <w:r>
                    <w:t>Leq</w:t>
                  </w:r>
                  <w:r>
                    <w:rPr>
                      <w:lang w:val="en-AU"/>
                    </w:rPr>
                    <w:t>（</w:t>
                  </w:r>
                  <w:r>
                    <w:t>A</w:t>
                  </w:r>
                  <w:r>
                    <w:rPr>
                      <w:lang w:val="en-AU"/>
                    </w:rPr>
                    <w:t>）</w:t>
                  </w:r>
                </w:p>
              </w:tc>
              <w:tc>
                <w:tcPr>
                  <w:tcW w:w="1164" w:type="pct"/>
                  <w:vMerge w:val="restart"/>
                  <w:vAlign w:val="center"/>
                </w:tcPr>
                <w:p>
                  <w:pPr>
                    <w:snapToGrid w:val="0"/>
                    <w:jc w:val="center"/>
                  </w:pPr>
                  <w:r>
                    <w:t>每季度一次，昼夜各1次</w:t>
                  </w:r>
                </w:p>
              </w:tc>
              <w:tc>
                <w:tcPr>
                  <w:tcW w:w="2269" w:type="pct"/>
                  <w:vAlign w:val="center"/>
                </w:tcPr>
                <w:p>
                  <w:pPr>
                    <w:snapToGrid w:val="0"/>
                    <w:jc w:val="center"/>
                  </w:pPr>
                  <w:r>
                    <w:rPr>
                      <w:rFonts w:hint="eastAsia"/>
                    </w:rPr>
                    <w:t>《工业企业厂界环境噪声排放标准》（GB</w:t>
                  </w:r>
                  <w:r>
                    <w:t>12348</w:t>
                  </w:r>
                  <w:r>
                    <w:rPr>
                      <w:rFonts w:hint="eastAsia"/>
                    </w:rPr>
                    <w:t>-2008）2类标准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pct"/>
                  <w:vAlign w:val="center"/>
                </w:tcPr>
                <w:p>
                  <w:pPr>
                    <w:snapToGrid w:val="0"/>
                    <w:jc w:val="center"/>
                  </w:pPr>
                  <w:r>
                    <w:rPr>
                      <w:rFonts w:hint="eastAsia"/>
                    </w:rPr>
                    <w:t>敏感点</w:t>
                  </w:r>
                </w:p>
              </w:tc>
              <w:tc>
                <w:tcPr>
                  <w:tcW w:w="839" w:type="pct"/>
                  <w:vMerge w:val="continue"/>
                  <w:vAlign w:val="center"/>
                </w:tcPr>
                <w:p>
                  <w:pPr>
                    <w:snapToGrid w:val="0"/>
                    <w:jc w:val="center"/>
                  </w:pPr>
                </w:p>
              </w:tc>
              <w:tc>
                <w:tcPr>
                  <w:tcW w:w="1164" w:type="pct"/>
                  <w:vMerge w:val="continue"/>
                  <w:vAlign w:val="center"/>
                </w:tcPr>
                <w:p>
                  <w:pPr>
                    <w:snapToGrid w:val="0"/>
                    <w:jc w:val="center"/>
                  </w:pPr>
                </w:p>
              </w:tc>
              <w:tc>
                <w:tcPr>
                  <w:tcW w:w="2269" w:type="pct"/>
                  <w:vAlign w:val="center"/>
                </w:tcPr>
                <w:p>
                  <w:pPr>
                    <w:snapToGrid w:val="0"/>
                    <w:jc w:val="center"/>
                  </w:pPr>
                  <w:r>
                    <w:t>《声环境质量标准》（GB3096-2008）中2类要求</w:t>
                  </w:r>
                </w:p>
              </w:tc>
            </w:tr>
          </w:tbl>
          <w:p>
            <w:pPr>
              <w:widowControl/>
              <w:spacing w:line="360" w:lineRule="auto"/>
              <w:ind w:firstLine="482" w:firstLineChars="200"/>
              <w:rPr>
                <w:b/>
                <w:kern w:val="0"/>
                <w:sz w:val="24"/>
              </w:rPr>
            </w:pPr>
            <w:r>
              <w:rPr>
                <w:b/>
                <w:kern w:val="0"/>
                <w:sz w:val="24"/>
              </w:rPr>
              <w:t>4、固废</w:t>
            </w:r>
          </w:p>
          <w:p>
            <w:pPr>
              <w:spacing w:line="360" w:lineRule="auto"/>
              <w:ind w:firstLine="480" w:firstLineChars="200"/>
              <w:rPr>
                <w:sz w:val="24"/>
              </w:rPr>
            </w:pPr>
            <w:r>
              <w:rPr>
                <w:sz w:val="24"/>
              </w:rPr>
              <w:t>（1）固体废物产生及处置</w:t>
            </w:r>
          </w:p>
          <w:p>
            <w:pPr>
              <w:spacing w:line="360" w:lineRule="auto"/>
              <w:ind w:firstLine="480" w:firstLineChars="200"/>
              <w:rPr>
                <w:sz w:val="24"/>
              </w:rPr>
            </w:pPr>
            <w:r>
              <w:rPr>
                <w:sz w:val="24"/>
              </w:rPr>
              <w:t>本项目营运过程中产生固体废弃物主要为医疗废物、生活垃圾、</w:t>
            </w:r>
            <w:r>
              <w:rPr>
                <w:rFonts w:hint="eastAsia"/>
                <w:sz w:val="24"/>
              </w:rPr>
              <w:t>废水</w:t>
            </w:r>
            <w:r>
              <w:rPr>
                <w:sz w:val="24"/>
              </w:rPr>
              <w:t>处理</w:t>
            </w:r>
            <w:r>
              <w:rPr>
                <w:rFonts w:hint="eastAsia"/>
                <w:sz w:val="24"/>
              </w:rPr>
              <w:t>站</w:t>
            </w:r>
            <w:r>
              <w:rPr>
                <w:sz w:val="24"/>
              </w:rPr>
              <w:t>污泥</w:t>
            </w:r>
            <w:r>
              <w:rPr>
                <w:rFonts w:hint="eastAsia"/>
                <w:sz w:val="24"/>
              </w:rPr>
              <w:t>、废油脂、废离子交换树脂</w:t>
            </w:r>
            <w:r>
              <w:rPr>
                <w:sz w:val="24"/>
              </w:rPr>
              <w:t>等。</w:t>
            </w:r>
          </w:p>
          <w:p>
            <w:pPr>
              <w:spacing w:line="360" w:lineRule="auto"/>
              <w:ind w:firstLine="480" w:firstLineChars="200"/>
              <w:rPr>
                <w:sz w:val="24"/>
              </w:rPr>
            </w:pPr>
            <w:r>
              <w:rPr>
                <w:rFonts w:hint="eastAsia" w:ascii="宋体" w:hAnsi="宋体"/>
                <w:sz w:val="24"/>
              </w:rPr>
              <w:t>①</w:t>
            </w:r>
            <w:r>
              <w:rPr>
                <w:sz w:val="24"/>
              </w:rPr>
              <w:t>医疗废物</w:t>
            </w:r>
          </w:p>
          <w:p>
            <w:pPr>
              <w:spacing w:line="360" w:lineRule="auto"/>
              <w:ind w:firstLine="480" w:firstLineChars="200"/>
              <w:rPr>
                <w:sz w:val="24"/>
              </w:rPr>
            </w:pPr>
            <w:r>
              <w:rPr>
                <w:sz w:val="24"/>
              </w:rPr>
              <w:t>本项目产生的医疗废物</w:t>
            </w:r>
            <w:r>
              <w:rPr>
                <w:rFonts w:hint="eastAsia"/>
                <w:sz w:val="24"/>
              </w:rPr>
              <w:t>主要来源于医疗过程中产生的手术及包扎残余物、化验检查残余物、实验废弃物等，</w:t>
            </w:r>
            <w:r>
              <w:rPr>
                <w:sz w:val="24"/>
              </w:rPr>
              <w:t>根据《国家危险废物名录（2021年版）》可知，医疗废物属于危险废物（HW01）。根据《第二次全国污染源普查产排污核算系数手册（试用版）》、《社会区域类环境影响评价》（中国环境科学出版社）可知，门诊医疗废物按 0.05kg/人·次计、病房医疗废物按 0.5kg/ 床·d 计，因此计算出本项目医疗固废产生量约1</w:t>
            </w:r>
            <w:r>
              <w:rPr>
                <w:rFonts w:hint="eastAsia"/>
                <w:sz w:val="24"/>
              </w:rPr>
              <w:t>1</w:t>
            </w:r>
            <w:r>
              <w:rPr>
                <w:sz w:val="24"/>
              </w:rPr>
              <w:t>2kg/d（4</w:t>
            </w:r>
            <w:r>
              <w:rPr>
                <w:rFonts w:hint="eastAsia"/>
                <w:sz w:val="24"/>
              </w:rPr>
              <w:t>0</w:t>
            </w:r>
            <w:r>
              <w:rPr>
                <w:sz w:val="24"/>
              </w:rPr>
              <w:t>.</w:t>
            </w:r>
            <w:r>
              <w:rPr>
                <w:rFonts w:hint="eastAsia"/>
                <w:sz w:val="24"/>
              </w:rPr>
              <w:t>88</w:t>
            </w:r>
            <w:r>
              <w:rPr>
                <w:sz w:val="24"/>
              </w:rPr>
              <w:t>t/a）。</w:t>
            </w:r>
          </w:p>
          <w:p>
            <w:pPr>
              <w:spacing w:line="360" w:lineRule="auto"/>
              <w:ind w:firstLine="480" w:firstLineChars="200"/>
              <w:rPr>
                <w:sz w:val="24"/>
              </w:rPr>
            </w:pPr>
            <w:r>
              <w:rPr>
                <w:sz w:val="24"/>
              </w:rPr>
              <w:t>项目</w:t>
            </w:r>
            <w:bookmarkStart w:id="19" w:name="_Hlk102507209"/>
            <w:r>
              <w:rPr>
                <w:rFonts w:hint="eastAsia"/>
                <w:sz w:val="24"/>
              </w:rPr>
              <w:t>新建医疗废物暂存间</w:t>
            </w:r>
            <w:r>
              <w:rPr>
                <w:sz w:val="24"/>
              </w:rPr>
              <w:t>，医疗废物</w:t>
            </w:r>
            <w:r>
              <w:rPr>
                <w:rFonts w:hint="eastAsia"/>
                <w:sz w:val="24"/>
              </w:rPr>
              <w:t>暂存医疗废物暂存间，定期</w:t>
            </w:r>
            <w:r>
              <w:rPr>
                <w:sz w:val="24"/>
              </w:rPr>
              <w:t>通过专用车辆转运，最终</w:t>
            </w:r>
            <w:r>
              <w:rPr>
                <w:rFonts w:hint="eastAsia"/>
                <w:sz w:val="24"/>
              </w:rPr>
              <w:t>交由资质单位</w:t>
            </w:r>
            <w:r>
              <w:rPr>
                <w:sz w:val="24"/>
              </w:rPr>
              <w:t>统一收集处置。</w:t>
            </w:r>
            <w:bookmarkEnd w:id="19"/>
          </w:p>
          <w:p>
            <w:pPr>
              <w:spacing w:line="360" w:lineRule="auto"/>
              <w:ind w:firstLine="480" w:firstLineChars="200"/>
              <w:rPr>
                <w:sz w:val="24"/>
              </w:rPr>
            </w:pPr>
            <w:r>
              <w:rPr>
                <w:rFonts w:hint="eastAsia" w:ascii="宋体" w:hAnsi="宋体"/>
                <w:sz w:val="24"/>
              </w:rPr>
              <w:t>②</w:t>
            </w:r>
            <w:r>
              <w:rPr>
                <w:sz w:val="24"/>
              </w:rPr>
              <w:t>生活垃圾</w:t>
            </w:r>
          </w:p>
          <w:p>
            <w:pPr>
              <w:spacing w:line="360" w:lineRule="auto"/>
              <w:ind w:firstLine="480" w:firstLineChars="200"/>
              <w:rPr>
                <w:sz w:val="24"/>
              </w:rPr>
            </w:pPr>
            <w:r>
              <w:rPr>
                <w:rFonts w:hint="eastAsia"/>
                <w:sz w:val="24"/>
              </w:rPr>
              <w:t xml:space="preserve">生活垃圾主要包括就诊患者和医院职工生活垃圾。医护人员50人，生活垃圾产生量按 </w:t>
            </w:r>
            <w:r>
              <w:rPr>
                <w:sz w:val="24"/>
              </w:rPr>
              <w:t>0.5kg/</w:t>
            </w:r>
            <w:r>
              <w:rPr>
                <w:rFonts w:hint="eastAsia"/>
                <w:sz w:val="24"/>
              </w:rPr>
              <w:t>人</w:t>
            </w:r>
            <w:r>
              <w:rPr>
                <w:sz w:val="24"/>
              </w:rPr>
              <w:t xml:space="preserve">·d </w:t>
            </w:r>
            <w:r>
              <w:rPr>
                <w:rFonts w:hint="eastAsia"/>
                <w:sz w:val="24"/>
              </w:rPr>
              <w:t>计，生活垃圾产生量为 25</w:t>
            </w:r>
            <w:r>
              <w:rPr>
                <w:sz w:val="24"/>
              </w:rPr>
              <w:t>kg/d</w:t>
            </w:r>
            <w:r>
              <w:rPr>
                <w:rFonts w:hint="eastAsia"/>
                <w:sz w:val="24"/>
              </w:rPr>
              <w:t>（9.1</w:t>
            </w:r>
            <w:r>
              <w:rPr>
                <w:sz w:val="24"/>
              </w:rPr>
              <w:t>3t/a</w:t>
            </w:r>
            <w:r>
              <w:rPr>
                <w:rFonts w:hint="eastAsia"/>
                <w:sz w:val="24"/>
              </w:rPr>
              <w:t>）；门诊患者80</w:t>
            </w:r>
            <w:r>
              <w:rPr>
                <w:sz w:val="24"/>
              </w:rPr>
              <w:t xml:space="preserve"> </w:t>
            </w:r>
            <w:r>
              <w:rPr>
                <w:rFonts w:hint="eastAsia"/>
                <w:sz w:val="24"/>
              </w:rPr>
              <w:t>人次</w:t>
            </w:r>
            <w:r>
              <w:rPr>
                <w:sz w:val="24"/>
              </w:rPr>
              <w:t>/d</w:t>
            </w:r>
            <w:r>
              <w:rPr>
                <w:rFonts w:hint="eastAsia"/>
                <w:sz w:val="24"/>
              </w:rPr>
              <w:t xml:space="preserve">，生活垃圾产生量按照 </w:t>
            </w:r>
            <w:r>
              <w:rPr>
                <w:sz w:val="24"/>
              </w:rPr>
              <w:t>0.2kg/</w:t>
            </w:r>
            <w:r>
              <w:rPr>
                <w:rFonts w:hint="eastAsia"/>
                <w:sz w:val="24"/>
              </w:rPr>
              <w:t>人</w:t>
            </w:r>
            <w:r>
              <w:rPr>
                <w:sz w:val="24"/>
              </w:rPr>
              <w:t>·</w:t>
            </w:r>
            <w:r>
              <w:rPr>
                <w:rFonts w:hint="eastAsia"/>
                <w:sz w:val="24"/>
              </w:rPr>
              <w:t>次计，门诊患者生活垃圾产生量为16</w:t>
            </w:r>
            <w:r>
              <w:rPr>
                <w:sz w:val="24"/>
              </w:rPr>
              <w:t>kg/d</w:t>
            </w:r>
            <w:r>
              <w:rPr>
                <w:rFonts w:hint="eastAsia"/>
                <w:sz w:val="24"/>
              </w:rPr>
              <w:t>（</w:t>
            </w:r>
            <w:r>
              <w:rPr>
                <w:sz w:val="24"/>
              </w:rPr>
              <w:t>5.84/a</w:t>
            </w:r>
            <w:r>
              <w:rPr>
                <w:rFonts w:hint="eastAsia"/>
                <w:sz w:val="24"/>
              </w:rPr>
              <w:t xml:space="preserve">）；项目设置216张病床，生活垃圾产生量按 </w:t>
            </w:r>
            <w:r>
              <w:rPr>
                <w:sz w:val="24"/>
              </w:rPr>
              <w:t>1.0kg/</w:t>
            </w:r>
            <w:r>
              <w:rPr>
                <w:rFonts w:hint="eastAsia"/>
                <w:sz w:val="24"/>
              </w:rPr>
              <w:t>床</w:t>
            </w:r>
            <w:r>
              <w:rPr>
                <w:sz w:val="24"/>
              </w:rPr>
              <w:t>·d</w:t>
            </w:r>
            <w:r>
              <w:rPr>
                <w:rFonts w:hint="eastAsia"/>
                <w:sz w:val="24"/>
              </w:rPr>
              <w:t>，则病房区生活垃圾产生量为216</w:t>
            </w:r>
            <w:r>
              <w:rPr>
                <w:sz w:val="24"/>
              </w:rPr>
              <w:t>kg/d</w:t>
            </w:r>
            <w:r>
              <w:rPr>
                <w:rFonts w:hint="eastAsia"/>
                <w:sz w:val="24"/>
              </w:rPr>
              <w:t>（78.84</w:t>
            </w:r>
            <w:r>
              <w:rPr>
                <w:sz w:val="24"/>
              </w:rPr>
              <w:t>t/a</w:t>
            </w:r>
            <w:r>
              <w:rPr>
                <w:rFonts w:hint="eastAsia"/>
                <w:sz w:val="24"/>
              </w:rPr>
              <w:t>）。因此项目生活垃圾总产生量为257</w:t>
            </w:r>
            <w:r>
              <w:rPr>
                <w:sz w:val="24"/>
              </w:rPr>
              <w:t>kg/d</w:t>
            </w:r>
            <w:r>
              <w:rPr>
                <w:rFonts w:hint="eastAsia"/>
                <w:sz w:val="24"/>
              </w:rPr>
              <w:t>（9</w:t>
            </w:r>
            <w:r>
              <w:rPr>
                <w:sz w:val="24"/>
              </w:rPr>
              <w:t>3.81t/a</w:t>
            </w:r>
            <w:r>
              <w:rPr>
                <w:rFonts w:hint="eastAsia"/>
                <w:sz w:val="24"/>
              </w:rPr>
              <w:t>），设置垃圾筒对生活垃圾进行分类收集，并</w:t>
            </w:r>
            <w:bookmarkStart w:id="20" w:name="_Hlk102507155"/>
            <w:r>
              <w:rPr>
                <w:rFonts w:hint="eastAsia"/>
                <w:sz w:val="24"/>
              </w:rPr>
              <w:t>由市政环卫部门统一清运处理，保证医院内无腐烂垃圾堆放</w:t>
            </w:r>
            <w:bookmarkEnd w:id="20"/>
            <w:r>
              <w:rPr>
                <w:rFonts w:hint="eastAsia"/>
                <w:sz w:val="24"/>
              </w:rPr>
              <w:t xml:space="preserve">。 </w:t>
            </w:r>
          </w:p>
          <w:p>
            <w:pPr>
              <w:spacing w:line="360" w:lineRule="auto"/>
              <w:ind w:firstLine="480" w:firstLineChars="200"/>
              <w:rPr>
                <w:sz w:val="24"/>
              </w:rPr>
            </w:pPr>
            <w:r>
              <w:rPr>
                <w:rFonts w:hint="eastAsia" w:ascii="宋体" w:hAnsi="宋体"/>
                <w:sz w:val="24"/>
              </w:rPr>
              <w:t>③</w:t>
            </w:r>
            <w:r>
              <w:rPr>
                <w:rFonts w:hint="eastAsia"/>
                <w:sz w:val="24"/>
              </w:rPr>
              <w:t>废油脂</w:t>
            </w:r>
          </w:p>
          <w:p>
            <w:pPr>
              <w:spacing w:line="360" w:lineRule="auto"/>
              <w:ind w:firstLine="480" w:firstLineChars="200"/>
              <w:rPr>
                <w:sz w:val="24"/>
              </w:rPr>
            </w:pPr>
            <w:r>
              <w:rPr>
                <w:sz w:val="24"/>
              </w:rPr>
              <w:t>项目食堂油废水经油水分离后产生废油脂，类比餐饮行业数据，废油脂产生量一般占食用油消费量20%-30%，</w:t>
            </w:r>
            <w:r>
              <w:rPr>
                <w:rFonts w:hint="eastAsia"/>
                <w:sz w:val="24"/>
              </w:rPr>
              <w:t>本项目取25%，</w:t>
            </w:r>
            <w:r>
              <w:rPr>
                <w:sz w:val="24"/>
              </w:rPr>
              <w:t>本项目食堂就餐人数</w:t>
            </w:r>
            <w:r>
              <w:rPr>
                <w:rFonts w:hint="eastAsia"/>
                <w:sz w:val="24"/>
              </w:rPr>
              <w:t>最高</w:t>
            </w:r>
            <w:r>
              <w:rPr>
                <w:sz w:val="24"/>
              </w:rPr>
              <w:t>为</w:t>
            </w:r>
            <w:r>
              <w:rPr>
                <w:rFonts w:hint="eastAsia"/>
                <w:sz w:val="24"/>
              </w:rPr>
              <w:t>180</w:t>
            </w:r>
            <w:r>
              <w:rPr>
                <w:sz w:val="24"/>
              </w:rPr>
              <w:t>人/d，食用油使用量约</w:t>
            </w:r>
            <w:r>
              <w:rPr>
                <w:rFonts w:hint="eastAsia"/>
                <w:bCs/>
                <w:sz w:val="24"/>
              </w:rPr>
              <w:t>5.4kg/d</w:t>
            </w:r>
            <w:r>
              <w:rPr>
                <w:sz w:val="24"/>
              </w:rPr>
              <w:t>（</w:t>
            </w:r>
            <w:r>
              <w:rPr>
                <w:rFonts w:hint="eastAsia"/>
                <w:sz w:val="24"/>
              </w:rPr>
              <w:t>1.97</w:t>
            </w:r>
            <w:r>
              <w:rPr>
                <w:sz w:val="24"/>
              </w:rPr>
              <w:t>t/a），则废油脂产生量约</w:t>
            </w:r>
            <w:r>
              <w:rPr>
                <w:rFonts w:hint="eastAsia"/>
                <w:sz w:val="24"/>
              </w:rPr>
              <w:t>0.49</w:t>
            </w:r>
            <w:r>
              <w:rPr>
                <w:sz w:val="24"/>
              </w:rPr>
              <w:t>t/a，采用专用容器盛放，定期交由有资质单位外运处置。</w:t>
            </w:r>
          </w:p>
          <w:p>
            <w:pPr>
              <w:spacing w:line="360" w:lineRule="auto"/>
              <w:ind w:firstLine="480" w:firstLineChars="200"/>
              <w:rPr>
                <w:sz w:val="24"/>
              </w:rPr>
            </w:pPr>
            <w:r>
              <w:rPr>
                <w:rFonts w:hint="eastAsia" w:ascii="宋体" w:hAnsi="宋体"/>
                <w:sz w:val="24"/>
              </w:rPr>
              <w:t>④</w:t>
            </w:r>
            <w:r>
              <w:rPr>
                <w:rFonts w:hint="eastAsia"/>
                <w:sz w:val="24"/>
              </w:rPr>
              <w:t>污水处理站</w:t>
            </w:r>
            <w:r>
              <w:rPr>
                <w:sz w:val="24"/>
              </w:rPr>
              <w:t>污泥</w:t>
            </w:r>
          </w:p>
          <w:p>
            <w:pPr>
              <w:spacing w:line="360" w:lineRule="auto"/>
              <w:ind w:firstLine="480" w:firstLineChars="200"/>
              <w:rPr>
                <w:sz w:val="24"/>
              </w:rPr>
            </w:pPr>
            <w:r>
              <w:rPr>
                <w:sz w:val="24"/>
              </w:rPr>
              <w:t>在医疗废水处理过程中，大量悬浮在水中的有机、无机污染物和致病菌、病毒、寄生虫卵等沉淀分离出来形成污泥，</w:t>
            </w:r>
            <w:r>
              <w:rPr>
                <w:rFonts w:hint="eastAsia"/>
                <w:sz w:val="24"/>
              </w:rPr>
              <w:t>污水处理站</w:t>
            </w:r>
            <w:r>
              <w:rPr>
                <w:sz w:val="24"/>
              </w:rPr>
              <w:t>污泥产生量</w:t>
            </w:r>
            <w:r>
              <w:rPr>
                <w:rFonts w:hint="eastAsia"/>
                <w:sz w:val="24"/>
              </w:rPr>
              <w:t>约为</w:t>
            </w:r>
            <w:r>
              <w:rPr>
                <w:sz w:val="24"/>
              </w:rPr>
              <w:t>1.1t/a</w:t>
            </w:r>
            <w:r>
              <w:rPr>
                <w:rFonts w:hint="eastAsia"/>
                <w:sz w:val="24"/>
              </w:rPr>
              <w:t>。《医疗机构水污染物排放标准》（</w:t>
            </w:r>
            <w:r>
              <w:rPr>
                <w:sz w:val="24"/>
              </w:rPr>
              <w:t>GB18466-2005</w:t>
            </w:r>
            <w:r>
              <w:rPr>
                <w:rFonts w:hint="eastAsia"/>
                <w:sz w:val="24"/>
              </w:rPr>
              <w:t>）规定废水处理站污泥属危险废物，按危险废物进行处理和处置；《国家危险废物名录》（</w:t>
            </w:r>
            <w:r>
              <w:rPr>
                <w:sz w:val="24"/>
              </w:rPr>
              <w:t>2021</w:t>
            </w:r>
            <w:r>
              <w:rPr>
                <w:rFonts w:hint="eastAsia"/>
                <w:sz w:val="24"/>
              </w:rPr>
              <w:t>年版）中未明确医院废水处理污泥的危废类别，本次评价参照执行医疗废物类别中的化学性废物，废物代码为</w:t>
            </w:r>
            <w:r>
              <w:rPr>
                <w:sz w:val="24"/>
              </w:rPr>
              <w:t>“HW01：841-004-01”</w:t>
            </w:r>
            <w:r>
              <w:rPr>
                <w:rFonts w:hint="eastAsia"/>
                <w:sz w:val="24"/>
              </w:rPr>
              <w:t>。</w:t>
            </w:r>
          </w:p>
          <w:p>
            <w:pPr>
              <w:spacing w:line="360" w:lineRule="auto"/>
              <w:ind w:firstLine="480" w:firstLineChars="200"/>
              <w:rPr>
                <w:sz w:val="24"/>
              </w:rPr>
            </w:pPr>
            <w:r>
              <w:rPr>
                <w:rFonts w:hint="eastAsia"/>
                <w:sz w:val="24"/>
              </w:rPr>
              <w:t>由于本项目污泥产生量较小，若设置污泥脱水系统，不但需增加污水处理系统的占地面积，而且污泥脱水过程会产生较大的恶臭污染，对本项目及周边居民造成较大的影响，因此本项目污泥拟排至污泥箱，采用石灰定期消毒，最终委托有资质单位清运处置。</w:t>
            </w:r>
          </w:p>
          <w:p>
            <w:pPr>
              <w:spacing w:line="360" w:lineRule="auto"/>
              <w:ind w:firstLine="480" w:firstLineChars="200"/>
              <w:rPr>
                <w:sz w:val="24"/>
              </w:rPr>
            </w:pPr>
            <w:r>
              <w:rPr>
                <w:rFonts w:hint="eastAsia" w:ascii="宋体" w:hAnsi="宋体" w:cs="宋体"/>
                <w:sz w:val="24"/>
              </w:rPr>
              <w:t>⑤</w:t>
            </w:r>
            <w:r>
              <w:rPr>
                <w:rFonts w:hint="eastAsia"/>
                <w:sz w:val="24"/>
              </w:rPr>
              <w:t>废离子交换树脂</w:t>
            </w:r>
          </w:p>
          <w:p>
            <w:pPr>
              <w:spacing w:line="360" w:lineRule="auto"/>
              <w:ind w:firstLine="480" w:firstLineChars="200"/>
              <w:rPr>
                <w:sz w:val="24"/>
              </w:rPr>
            </w:pPr>
            <w:r>
              <w:rPr>
                <w:rFonts w:hint="eastAsia"/>
                <w:sz w:val="24"/>
              </w:rPr>
              <w:t>本项目</w:t>
            </w:r>
            <w:bookmarkStart w:id="21" w:name="_Hlk134630985"/>
            <w:r>
              <w:rPr>
                <w:rFonts w:hint="eastAsia"/>
                <w:sz w:val="24"/>
              </w:rPr>
              <w:t>制备纯水设备需定期更换离子交换树脂</w:t>
            </w:r>
            <w:bookmarkEnd w:id="21"/>
            <w:r>
              <w:rPr>
                <w:rFonts w:hint="eastAsia"/>
                <w:sz w:val="24"/>
              </w:rPr>
              <w:t>，本项目废离子交换树脂产生量约为0.8t/a，废离子交换树脂</w:t>
            </w:r>
            <w:bookmarkStart w:id="22" w:name="_Hlk134630991"/>
            <w:r>
              <w:rPr>
                <w:rFonts w:hint="eastAsia"/>
                <w:sz w:val="24"/>
              </w:rPr>
              <w:t>由更换单位回收处置</w:t>
            </w:r>
            <w:bookmarkEnd w:id="22"/>
            <w:r>
              <w:rPr>
                <w:rFonts w:hint="eastAsia"/>
                <w:sz w:val="24"/>
              </w:rPr>
              <w:t>。</w:t>
            </w:r>
          </w:p>
          <w:p>
            <w:pPr>
              <w:spacing w:line="360" w:lineRule="auto"/>
              <w:ind w:firstLine="480" w:firstLineChars="200"/>
              <w:rPr>
                <w:sz w:val="24"/>
              </w:rPr>
            </w:pPr>
            <w:r>
              <w:rPr>
                <w:rFonts w:hint="eastAsia" w:ascii="宋体" w:hAnsi="宋体"/>
                <w:sz w:val="24"/>
              </w:rPr>
              <w:t>⑥</w:t>
            </w:r>
            <w:r>
              <w:rPr>
                <w:rFonts w:hint="eastAsia"/>
                <w:sz w:val="24"/>
              </w:rPr>
              <w:t>废包装物</w:t>
            </w:r>
          </w:p>
          <w:p>
            <w:pPr>
              <w:spacing w:line="360" w:lineRule="auto"/>
              <w:ind w:firstLine="480" w:firstLineChars="200"/>
              <w:rPr>
                <w:sz w:val="24"/>
              </w:rPr>
            </w:pPr>
            <w:r>
              <w:rPr>
                <w:rFonts w:hint="eastAsia"/>
                <w:sz w:val="24"/>
              </w:rPr>
              <w:t>项目药品及器材废包装材料每天产生量约</w:t>
            </w:r>
            <w:r>
              <w:rPr>
                <w:sz w:val="24"/>
              </w:rPr>
              <w:t>1.5kg/d，年产生量0.55t/a</w:t>
            </w:r>
            <w:r>
              <w:rPr>
                <w:rFonts w:hint="eastAsia"/>
                <w:sz w:val="24"/>
              </w:rPr>
              <w:t>，</w:t>
            </w:r>
            <w:bookmarkStart w:id="23" w:name="_Hlk102507278"/>
            <w:r>
              <w:rPr>
                <w:rFonts w:hint="eastAsia"/>
                <w:sz w:val="24"/>
              </w:rPr>
              <w:t>集中收集后由废旧资源回收部门回收利用。</w:t>
            </w:r>
          </w:p>
          <w:bookmarkEnd w:id="23"/>
          <w:p>
            <w:pPr>
              <w:spacing w:line="360" w:lineRule="auto"/>
              <w:ind w:firstLine="480" w:firstLineChars="200"/>
              <w:rPr>
                <w:sz w:val="24"/>
              </w:rPr>
            </w:pPr>
            <w:r>
              <w:rPr>
                <w:rFonts w:hint="eastAsia" w:ascii="宋体" w:hAnsi="宋体"/>
                <w:sz w:val="24"/>
              </w:rPr>
              <w:t>⑦</w:t>
            </w:r>
            <w:r>
              <w:rPr>
                <w:sz w:val="24"/>
              </w:rPr>
              <w:t>废输液瓶</w:t>
            </w:r>
          </w:p>
          <w:p>
            <w:pPr>
              <w:spacing w:line="360" w:lineRule="auto"/>
              <w:ind w:firstLine="480" w:firstLineChars="200"/>
              <w:rPr>
                <w:sz w:val="24"/>
              </w:rPr>
            </w:pPr>
            <w:r>
              <w:rPr>
                <w:sz w:val="24"/>
              </w:rPr>
              <w:t>本项目会产生少量废一次性输液瓶，产生量约为0.07t/a。本项目废输液瓶不沾染其他医疗废物，属于一般固废，统一收集后交由专业单位统一收集处理。</w:t>
            </w:r>
          </w:p>
          <w:p>
            <w:pPr>
              <w:spacing w:line="360" w:lineRule="auto"/>
              <w:ind w:firstLine="480" w:firstLineChars="200"/>
              <w:rPr>
                <w:sz w:val="24"/>
              </w:rPr>
            </w:pPr>
            <w:r>
              <w:rPr>
                <w:sz w:val="24"/>
              </w:rPr>
              <w:t>项目固体废物产生情况见表</w:t>
            </w:r>
            <w:r>
              <w:rPr>
                <w:rFonts w:hint="eastAsia"/>
                <w:sz w:val="24"/>
              </w:rPr>
              <w:t>4-10</w:t>
            </w:r>
            <w:r>
              <w:rPr>
                <w:sz w:val="24"/>
              </w:rPr>
              <w:t>。</w:t>
            </w:r>
          </w:p>
          <w:p>
            <w:pPr>
              <w:adjustRightInd w:val="0"/>
              <w:snapToGrid w:val="0"/>
              <w:jc w:val="center"/>
              <w:rPr>
                <w:b/>
                <w:bCs/>
                <w:sz w:val="24"/>
              </w:rPr>
            </w:pPr>
            <w:r>
              <w:rPr>
                <w:rFonts w:hint="eastAsia"/>
                <w:b/>
                <w:bCs/>
                <w:sz w:val="24"/>
              </w:rPr>
              <w:t>表4</w:t>
            </w:r>
            <w:r>
              <w:rPr>
                <w:b/>
                <w:bCs/>
                <w:sz w:val="24"/>
              </w:rPr>
              <w:t xml:space="preserve">-10  </w:t>
            </w:r>
            <w:r>
              <w:rPr>
                <w:rFonts w:hint="eastAsia"/>
                <w:b/>
                <w:bCs/>
                <w:sz w:val="24"/>
              </w:rPr>
              <w:t>项</w:t>
            </w:r>
            <w:r>
              <w:rPr>
                <w:b/>
                <w:bCs/>
                <w:sz w:val="24"/>
              </w:rPr>
              <w:t>目固体废物产生情况及属性汇总表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132"/>
              <w:gridCol w:w="985"/>
              <w:gridCol w:w="1143"/>
              <w:gridCol w:w="1275"/>
              <w:gridCol w:w="427"/>
              <w:gridCol w:w="1554"/>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
                      <w:szCs w:val="21"/>
                    </w:rPr>
                  </w:pPr>
                  <w:r>
                    <w:rPr>
                      <w:b/>
                      <w:szCs w:val="21"/>
                    </w:rPr>
                    <w:t>固废名称</w:t>
                  </w:r>
                </w:p>
              </w:tc>
              <w:tc>
                <w:tcPr>
                  <w:tcW w:w="669" w:type="pct"/>
                  <w:vAlign w:val="center"/>
                </w:tcPr>
                <w:p>
                  <w:pPr>
                    <w:snapToGrid w:val="0"/>
                    <w:jc w:val="center"/>
                    <w:rPr>
                      <w:b/>
                      <w:szCs w:val="21"/>
                    </w:rPr>
                  </w:pPr>
                  <w:r>
                    <w:rPr>
                      <w:b/>
                      <w:szCs w:val="21"/>
                    </w:rPr>
                    <w:t>产生环节</w:t>
                  </w:r>
                </w:p>
              </w:tc>
              <w:tc>
                <w:tcPr>
                  <w:tcW w:w="582" w:type="pct"/>
                  <w:vAlign w:val="center"/>
                </w:tcPr>
                <w:p>
                  <w:pPr>
                    <w:snapToGrid w:val="0"/>
                    <w:jc w:val="center"/>
                    <w:rPr>
                      <w:b/>
                      <w:szCs w:val="21"/>
                    </w:rPr>
                  </w:pPr>
                  <w:r>
                    <w:rPr>
                      <w:b/>
                      <w:szCs w:val="21"/>
                    </w:rPr>
                    <w:t>物理性状</w:t>
                  </w:r>
                </w:p>
              </w:tc>
              <w:tc>
                <w:tcPr>
                  <w:tcW w:w="675" w:type="pct"/>
                  <w:vAlign w:val="center"/>
                </w:tcPr>
                <w:p>
                  <w:pPr>
                    <w:snapToGrid w:val="0"/>
                    <w:jc w:val="center"/>
                    <w:rPr>
                      <w:b/>
                      <w:szCs w:val="21"/>
                    </w:rPr>
                  </w:pPr>
                  <w:r>
                    <w:rPr>
                      <w:b/>
                      <w:szCs w:val="21"/>
                    </w:rPr>
                    <w:t>主要成分</w:t>
                  </w:r>
                </w:p>
              </w:tc>
              <w:tc>
                <w:tcPr>
                  <w:tcW w:w="753" w:type="pct"/>
                  <w:vAlign w:val="center"/>
                </w:tcPr>
                <w:p>
                  <w:pPr>
                    <w:snapToGrid w:val="0"/>
                    <w:jc w:val="center"/>
                    <w:rPr>
                      <w:b/>
                      <w:szCs w:val="21"/>
                    </w:rPr>
                  </w:pPr>
                  <w:r>
                    <w:rPr>
                      <w:rFonts w:hint="eastAsia"/>
                      <w:b/>
                      <w:szCs w:val="21"/>
                    </w:rPr>
                    <w:t>产</w:t>
                  </w:r>
                  <w:r>
                    <w:rPr>
                      <w:b/>
                      <w:szCs w:val="21"/>
                    </w:rPr>
                    <w:t>年产生量（t/a）</w:t>
                  </w:r>
                </w:p>
              </w:tc>
              <w:tc>
                <w:tcPr>
                  <w:tcW w:w="252" w:type="pct"/>
                  <w:vAlign w:val="center"/>
                </w:tcPr>
                <w:p>
                  <w:pPr>
                    <w:snapToGrid w:val="0"/>
                    <w:jc w:val="center"/>
                    <w:rPr>
                      <w:b/>
                      <w:szCs w:val="21"/>
                    </w:rPr>
                  </w:pPr>
                  <w:r>
                    <w:rPr>
                      <w:b/>
                      <w:szCs w:val="21"/>
                    </w:rPr>
                    <w:t>属性</w:t>
                  </w:r>
                </w:p>
              </w:tc>
              <w:tc>
                <w:tcPr>
                  <w:tcW w:w="918" w:type="pct"/>
                  <w:vAlign w:val="center"/>
                </w:tcPr>
                <w:p>
                  <w:pPr>
                    <w:snapToGrid w:val="0"/>
                    <w:jc w:val="center"/>
                    <w:rPr>
                      <w:b/>
                      <w:szCs w:val="21"/>
                    </w:rPr>
                  </w:pPr>
                  <w:r>
                    <w:rPr>
                      <w:b/>
                      <w:szCs w:val="21"/>
                    </w:rPr>
                    <w:t>废物代码</w:t>
                  </w:r>
                </w:p>
              </w:tc>
              <w:tc>
                <w:tcPr>
                  <w:tcW w:w="510" w:type="pct"/>
                  <w:vAlign w:val="center"/>
                </w:tcPr>
                <w:p>
                  <w:pPr>
                    <w:snapToGrid w:val="0"/>
                    <w:jc w:val="center"/>
                    <w:rPr>
                      <w:b/>
                      <w:szCs w:val="21"/>
                    </w:rPr>
                  </w:pPr>
                  <w:r>
                    <w:rPr>
                      <w:b/>
                      <w:spacing w:val="-6"/>
                      <w:szCs w:val="21"/>
                    </w:rPr>
                    <w:t>环境危险特性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生活垃圾</w:t>
                  </w:r>
                </w:p>
              </w:tc>
              <w:tc>
                <w:tcPr>
                  <w:tcW w:w="669" w:type="pct"/>
                  <w:vAlign w:val="center"/>
                </w:tcPr>
                <w:p>
                  <w:pPr>
                    <w:snapToGrid w:val="0"/>
                    <w:jc w:val="center"/>
                    <w:rPr>
                      <w:bCs/>
                      <w:szCs w:val="21"/>
                    </w:rPr>
                  </w:pPr>
                  <w:r>
                    <w:rPr>
                      <w:rFonts w:hint="eastAsia"/>
                      <w:bCs/>
                      <w:szCs w:val="21"/>
                    </w:rPr>
                    <w:t>门诊、病房、医护人员和工作人员</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废纸塑料等</w:t>
                  </w:r>
                </w:p>
              </w:tc>
              <w:tc>
                <w:tcPr>
                  <w:tcW w:w="753" w:type="pct"/>
                  <w:vAlign w:val="center"/>
                </w:tcPr>
                <w:p>
                  <w:pPr>
                    <w:snapToGrid w:val="0"/>
                    <w:jc w:val="center"/>
                    <w:rPr>
                      <w:bCs/>
                      <w:szCs w:val="21"/>
                    </w:rPr>
                  </w:pPr>
                  <w:r>
                    <w:rPr>
                      <w:bCs/>
                      <w:kern w:val="0"/>
                      <w:szCs w:val="21"/>
                    </w:rPr>
                    <w:t>93.81</w:t>
                  </w:r>
                </w:p>
              </w:tc>
              <w:tc>
                <w:tcPr>
                  <w:tcW w:w="252" w:type="pct"/>
                  <w:vMerge w:val="restart"/>
                  <w:vAlign w:val="center"/>
                </w:tcPr>
                <w:p>
                  <w:pPr>
                    <w:snapToGrid w:val="0"/>
                    <w:jc w:val="center"/>
                    <w:rPr>
                      <w:bCs/>
                      <w:szCs w:val="21"/>
                    </w:rPr>
                  </w:pPr>
                  <w:r>
                    <w:rPr>
                      <w:rFonts w:hint="eastAsia"/>
                      <w:bCs/>
                      <w:szCs w:val="21"/>
                    </w:rPr>
                    <w:t>一般固废</w:t>
                  </w:r>
                </w:p>
              </w:tc>
              <w:tc>
                <w:tcPr>
                  <w:tcW w:w="918" w:type="pct"/>
                  <w:vMerge w:val="restart"/>
                  <w:vAlign w:val="center"/>
                </w:tcPr>
                <w:p>
                  <w:pPr>
                    <w:snapToGrid w:val="0"/>
                    <w:jc w:val="center"/>
                    <w:rPr>
                      <w:bCs/>
                      <w:szCs w:val="21"/>
                    </w:rPr>
                  </w:pPr>
                  <w:r>
                    <w:rPr>
                      <w:bCs/>
                      <w:szCs w:val="21"/>
                    </w:rPr>
                    <w:t>900-999-99</w:t>
                  </w:r>
                </w:p>
              </w:tc>
              <w:tc>
                <w:tcPr>
                  <w:tcW w:w="510" w:type="pct"/>
                  <w:vAlign w:val="center"/>
                </w:tcPr>
                <w:p>
                  <w:pPr>
                    <w:snapToGrid w:val="0"/>
                    <w:jc w:val="center"/>
                    <w:rPr>
                      <w:bCs/>
                      <w:spacing w:val="-6"/>
                      <w:szCs w:val="21"/>
                    </w:rPr>
                  </w:pPr>
                  <w:r>
                    <w:rPr>
                      <w:rFonts w:hint="eastAsia"/>
                      <w:bCs/>
                      <w:spacing w:val="-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废油脂</w:t>
                  </w:r>
                </w:p>
              </w:tc>
              <w:tc>
                <w:tcPr>
                  <w:tcW w:w="669" w:type="pct"/>
                  <w:vAlign w:val="center"/>
                </w:tcPr>
                <w:p>
                  <w:pPr>
                    <w:snapToGrid w:val="0"/>
                    <w:jc w:val="center"/>
                    <w:rPr>
                      <w:bCs/>
                      <w:szCs w:val="21"/>
                    </w:rPr>
                  </w:pPr>
                  <w:r>
                    <w:rPr>
                      <w:rFonts w:hint="eastAsia"/>
                      <w:bCs/>
                      <w:szCs w:val="21"/>
                    </w:rPr>
                    <w:t>食堂</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油脂</w:t>
                  </w:r>
                </w:p>
              </w:tc>
              <w:tc>
                <w:tcPr>
                  <w:tcW w:w="753" w:type="pct"/>
                  <w:vAlign w:val="center"/>
                </w:tcPr>
                <w:p>
                  <w:pPr>
                    <w:snapToGrid w:val="0"/>
                    <w:jc w:val="center"/>
                    <w:rPr>
                      <w:bCs/>
                      <w:szCs w:val="21"/>
                    </w:rPr>
                  </w:pPr>
                  <w:r>
                    <w:rPr>
                      <w:bCs/>
                      <w:kern w:val="0"/>
                      <w:szCs w:val="21"/>
                    </w:rPr>
                    <w:t>0.49</w:t>
                  </w:r>
                </w:p>
              </w:tc>
              <w:tc>
                <w:tcPr>
                  <w:tcW w:w="252" w:type="pct"/>
                  <w:vMerge w:val="continue"/>
                  <w:vAlign w:val="center"/>
                </w:tcPr>
                <w:p>
                  <w:pPr>
                    <w:snapToGrid w:val="0"/>
                    <w:jc w:val="center"/>
                    <w:rPr>
                      <w:bCs/>
                      <w:szCs w:val="21"/>
                    </w:rPr>
                  </w:pPr>
                </w:p>
              </w:tc>
              <w:tc>
                <w:tcPr>
                  <w:tcW w:w="918" w:type="pct"/>
                  <w:vMerge w:val="continue"/>
                  <w:vAlign w:val="center"/>
                </w:tcPr>
                <w:p>
                  <w:pPr>
                    <w:snapToGrid w:val="0"/>
                    <w:jc w:val="center"/>
                    <w:rPr>
                      <w:bCs/>
                      <w:szCs w:val="21"/>
                    </w:rPr>
                  </w:pPr>
                </w:p>
              </w:tc>
              <w:tc>
                <w:tcPr>
                  <w:tcW w:w="510" w:type="pct"/>
                  <w:vAlign w:val="center"/>
                </w:tcPr>
                <w:p>
                  <w:pPr>
                    <w:snapToGrid w:val="0"/>
                    <w:jc w:val="center"/>
                    <w:rPr>
                      <w:bCs/>
                      <w:spacing w:val="-6"/>
                      <w:szCs w:val="21"/>
                    </w:rPr>
                  </w:pPr>
                  <w:r>
                    <w:rPr>
                      <w:rFonts w:hint="eastAsia"/>
                      <w:bCs/>
                      <w:spacing w:val="-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废包装物</w:t>
                  </w:r>
                </w:p>
              </w:tc>
              <w:tc>
                <w:tcPr>
                  <w:tcW w:w="669" w:type="pct"/>
                  <w:vAlign w:val="center"/>
                </w:tcPr>
                <w:p>
                  <w:pPr>
                    <w:snapToGrid w:val="0"/>
                    <w:jc w:val="center"/>
                    <w:rPr>
                      <w:bCs/>
                      <w:szCs w:val="21"/>
                    </w:rPr>
                  </w:pPr>
                  <w:r>
                    <w:rPr>
                      <w:rFonts w:hint="eastAsia"/>
                      <w:bCs/>
                      <w:szCs w:val="21"/>
                    </w:rPr>
                    <w:t>药品包装</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医院包装材料</w:t>
                  </w:r>
                </w:p>
              </w:tc>
              <w:tc>
                <w:tcPr>
                  <w:tcW w:w="753" w:type="pct"/>
                  <w:vAlign w:val="center"/>
                </w:tcPr>
                <w:p>
                  <w:pPr>
                    <w:snapToGrid w:val="0"/>
                    <w:jc w:val="center"/>
                    <w:rPr>
                      <w:bCs/>
                      <w:szCs w:val="21"/>
                    </w:rPr>
                  </w:pPr>
                  <w:r>
                    <w:rPr>
                      <w:bCs/>
                      <w:kern w:val="0"/>
                      <w:szCs w:val="21"/>
                    </w:rPr>
                    <w:t>0.55</w:t>
                  </w:r>
                </w:p>
              </w:tc>
              <w:tc>
                <w:tcPr>
                  <w:tcW w:w="252" w:type="pct"/>
                  <w:vMerge w:val="continue"/>
                  <w:vAlign w:val="center"/>
                </w:tcPr>
                <w:p>
                  <w:pPr>
                    <w:snapToGrid w:val="0"/>
                    <w:jc w:val="center"/>
                    <w:rPr>
                      <w:bCs/>
                      <w:szCs w:val="21"/>
                    </w:rPr>
                  </w:pPr>
                </w:p>
              </w:tc>
              <w:tc>
                <w:tcPr>
                  <w:tcW w:w="918" w:type="pct"/>
                  <w:vMerge w:val="continue"/>
                  <w:vAlign w:val="center"/>
                </w:tcPr>
                <w:p>
                  <w:pPr>
                    <w:snapToGrid w:val="0"/>
                    <w:jc w:val="center"/>
                    <w:rPr>
                      <w:bCs/>
                      <w:szCs w:val="21"/>
                    </w:rPr>
                  </w:pPr>
                </w:p>
              </w:tc>
              <w:tc>
                <w:tcPr>
                  <w:tcW w:w="510" w:type="pct"/>
                  <w:vAlign w:val="center"/>
                </w:tcPr>
                <w:p>
                  <w:pPr>
                    <w:snapToGrid w:val="0"/>
                    <w:jc w:val="center"/>
                    <w:rPr>
                      <w:bCs/>
                      <w:spacing w:val="-6"/>
                      <w:szCs w:val="21"/>
                    </w:rPr>
                  </w:pPr>
                  <w:r>
                    <w:rPr>
                      <w:rFonts w:hint="eastAsia"/>
                      <w:bCs/>
                      <w:spacing w:val="-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废离子交换树脂</w:t>
                  </w:r>
                </w:p>
              </w:tc>
              <w:tc>
                <w:tcPr>
                  <w:tcW w:w="669" w:type="pct"/>
                  <w:vAlign w:val="center"/>
                </w:tcPr>
                <w:p>
                  <w:pPr>
                    <w:snapToGrid w:val="0"/>
                    <w:jc w:val="center"/>
                    <w:rPr>
                      <w:bCs/>
                      <w:szCs w:val="21"/>
                    </w:rPr>
                  </w:pPr>
                  <w:r>
                    <w:rPr>
                      <w:rFonts w:hint="eastAsia"/>
                      <w:bCs/>
                      <w:szCs w:val="21"/>
                    </w:rPr>
                    <w:t>纯水制备</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树脂</w:t>
                  </w:r>
                </w:p>
              </w:tc>
              <w:tc>
                <w:tcPr>
                  <w:tcW w:w="753" w:type="pct"/>
                  <w:vAlign w:val="center"/>
                </w:tcPr>
                <w:p>
                  <w:pPr>
                    <w:snapToGrid w:val="0"/>
                    <w:jc w:val="center"/>
                    <w:rPr>
                      <w:bCs/>
                      <w:kern w:val="0"/>
                      <w:szCs w:val="21"/>
                    </w:rPr>
                  </w:pPr>
                  <w:r>
                    <w:rPr>
                      <w:bCs/>
                      <w:kern w:val="0"/>
                      <w:szCs w:val="21"/>
                    </w:rPr>
                    <w:t>0.8</w:t>
                  </w:r>
                </w:p>
              </w:tc>
              <w:tc>
                <w:tcPr>
                  <w:tcW w:w="252" w:type="pct"/>
                  <w:vMerge w:val="continue"/>
                  <w:vAlign w:val="center"/>
                </w:tcPr>
                <w:p>
                  <w:pPr>
                    <w:snapToGrid w:val="0"/>
                    <w:jc w:val="center"/>
                    <w:rPr>
                      <w:bCs/>
                      <w:szCs w:val="21"/>
                    </w:rPr>
                  </w:pPr>
                </w:p>
              </w:tc>
              <w:tc>
                <w:tcPr>
                  <w:tcW w:w="918" w:type="pct"/>
                  <w:vMerge w:val="continue"/>
                  <w:vAlign w:val="center"/>
                </w:tcPr>
                <w:p>
                  <w:pPr>
                    <w:snapToGrid w:val="0"/>
                    <w:jc w:val="center"/>
                    <w:rPr>
                      <w:bCs/>
                      <w:szCs w:val="21"/>
                    </w:rPr>
                  </w:pPr>
                </w:p>
              </w:tc>
              <w:tc>
                <w:tcPr>
                  <w:tcW w:w="510" w:type="pct"/>
                  <w:vAlign w:val="center"/>
                </w:tcPr>
                <w:p>
                  <w:pPr>
                    <w:snapToGrid w:val="0"/>
                    <w:jc w:val="center"/>
                    <w:rPr>
                      <w:bCs/>
                      <w:spacing w:val="-6"/>
                      <w:szCs w:val="21"/>
                    </w:rPr>
                  </w:pPr>
                  <w:r>
                    <w:rPr>
                      <w:rFonts w:hint="eastAsia"/>
                      <w:bCs/>
                      <w:spacing w:val="-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废输液瓶</w:t>
                  </w:r>
                </w:p>
              </w:tc>
              <w:tc>
                <w:tcPr>
                  <w:tcW w:w="669" w:type="pct"/>
                  <w:vAlign w:val="center"/>
                </w:tcPr>
                <w:p>
                  <w:pPr>
                    <w:snapToGrid w:val="0"/>
                    <w:jc w:val="center"/>
                    <w:rPr>
                      <w:bCs/>
                      <w:szCs w:val="21"/>
                    </w:rPr>
                  </w:pPr>
                  <w:r>
                    <w:rPr>
                      <w:rFonts w:hint="eastAsia"/>
                      <w:bCs/>
                      <w:szCs w:val="21"/>
                    </w:rPr>
                    <w:t>门诊</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聚丙烯等</w:t>
                  </w:r>
                </w:p>
              </w:tc>
              <w:tc>
                <w:tcPr>
                  <w:tcW w:w="753" w:type="pct"/>
                  <w:vAlign w:val="center"/>
                </w:tcPr>
                <w:p>
                  <w:pPr>
                    <w:snapToGrid w:val="0"/>
                    <w:jc w:val="center"/>
                    <w:rPr>
                      <w:bCs/>
                      <w:szCs w:val="21"/>
                    </w:rPr>
                  </w:pPr>
                  <w:r>
                    <w:rPr>
                      <w:rFonts w:hint="eastAsia"/>
                      <w:bCs/>
                      <w:szCs w:val="21"/>
                    </w:rPr>
                    <w:t>0</w:t>
                  </w:r>
                  <w:r>
                    <w:rPr>
                      <w:bCs/>
                      <w:szCs w:val="21"/>
                    </w:rPr>
                    <w:t>.07</w:t>
                  </w:r>
                </w:p>
              </w:tc>
              <w:tc>
                <w:tcPr>
                  <w:tcW w:w="252" w:type="pct"/>
                  <w:vMerge w:val="continue"/>
                  <w:vAlign w:val="center"/>
                </w:tcPr>
                <w:p>
                  <w:pPr>
                    <w:snapToGrid w:val="0"/>
                    <w:jc w:val="center"/>
                    <w:rPr>
                      <w:bCs/>
                      <w:szCs w:val="21"/>
                    </w:rPr>
                  </w:pPr>
                </w:p>
              </w:tc>
              <w:tc>
                <w:tcPr>
                  <w:tcW w:w="918" w:type="pct"/>
                  <w:vMerge w:val="continue"/>
                  <w:vAlign w:val="center"/>
                </w:tcPr>
                <w:p>
                  <w:pPr>
                    <w:snapToGrid w:val="0"/>
                    <w:jc w:val="center"/>
                    <w:rPr>
                      <w:bCs/>
                      <w:szCs w:val="21"/>
                    </w:rPr>
                  </w:pPr>
                </w:p>
              </w:tc>
              <w:tc>
                <w:tcPr>
                  <w:tcW w:w="510" w:type="pct"/>
                  <w:vAlign w:val="center"/>
                </w:tcPr>
                <w:p>
                  <w:pPr>
                    <w:snapToGrid w:val="0"/>
                    <w:jc w:val="center"/>
                    <w:rPr>
                      <w:bCs/>
                      <w:spacing w:val="-6"/>
                      <w:szCs w:val="21"/>
                    </w:rPr>
                  </w:pPr>
                  <w:r>
                    <w:rPr>
                      <w:rFonts w:hint="eastAsia"/>
                      <w:bCs/>
                      <w:spacing w:val="-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0" w:type="pct"/>
                  <w:vMerge w:val="restart"/>
                  <w:vAlign w:val="center"/>
                </w:tcPr>
                <w:p>
                  <w:pPr>
                    <w:snapToGrid w:val="0"/>
                    <w:jc w:val="center"/>
                    <w:rPr>
                      <w:bCs/>
                      <w:szCs w:val="21"/>
                    </w:rPr>
                  </w:pPr>
                  <w:r>
                    <w:rPr>
                      <w:rFonts w:hint="eastAsia"/>
                      <w:bCs/>
                      <w:szCs w:val="21"/>
                    </w:rPr>
                    <w:t>医疗废物</w:t>
                  </w:r>
                </w:p>
              </w:tc>
              <w:tc>
                <w:tcPr>
                  <w:tcW w:w="669" w:type="pct"/>
                  <w:vMerge w:val="restart"/>
                  <w:vAlign w:val="center"/>
                </w:tcPr>
                <w:p>
                  <w:pPr>
                    <w:snapToGrid w:val="0"/>
                    <w:jc w:val="center"/>
                    <w:rPr>
                      <w:bCs/>
                      <w:szCs w:val="21"/>
                    </w:rPr>
                  </w:pPr>
                  <w:r>
                    <w:rPr>
                      <w:rFonts w:hint="eastAsia"/>
                      <w:bCs/>
                      <w:szCs w:val="21"/>
                    </w:rPr>
                    <w:t>门诊、手术室等</w:t>
                  </w:r>
                </w:p>
              </w:tc>
              <w:tc>
                <w:tcPr>
                  <w:tcW w:w="582" w:type="pct"/>
                  <w:vMerge w:val="restart"/>
                  <w:vAlign w:val="center"/>
                </w:tcPr>
                <w:p>
                  <w:pPr>
                    <w:snapToGrid w:val="0"/>
                    <w:jc w:val="center"/>
                    <w:rPr>
                      <w:bCs/>
                      <w:szCs w:val="21"/>
                    </w:rPr>
                  </w:pPr>
                  <w:r>
                    <w:rPr>
                      <w:rFonts w:hint="eastAsia"/>
                      <w:bCs/>
                      <w:szCs w:val="21"/>
                    </w:rPr>
                    <w:t>固态</w:t>
                  </w:r>
                </w:p>
              </w:tc>
              <w:tc>
                <w:tcPr>
                  <w:tcW w:w="675" w:type="pct"/>
                  <w:vMerge w:val="restart"/>
                  <w:vAlign w:val="center"/>
                </w:tcPr>
                <w:p>
                  <w:pPr>
                    <w:snapToGrid w:val="0"/>
                    <w:jc w:val="center"/>
                    <w:rPr>
                      <w:bCs/>
                      <w:szCs w:val="21"/>
                    </w:rPr>
                  </w:pPr>
                  <w:r>
                    <w:rPr>
                      <w:bCs/>
                      <w:szCs w:val="21"/>
                    </w:rPr>
                    <w:t>手术及包扎残余物、化验检查残余物、废医疗材料、实验废弃物</w:t>
                  </w:r>
                  <w:r>
                    <w:rPr>
                      <w:rFonts w:hint="eastAsia"/>
                      <w:bCs/>
                      <w:szCs w:val="21"/>
                    </w:rPr>
                    <w:t>等</w:t>
                  </w:r>
                </w:p>
              </w:tc>
              <w:tc>
                <w:tcPr>
                  <w:tcW w:w="753" w:type="pct"/>
                  <w:vMerge w:val="restart"/>
                  <w:vAlign w:val="center"/>
                </w:tcPr>
                <w:p>
                  <w:pPr>
                    <w:snapToGrid w:val="0"/>
                    <w:jc w:val="center"/>
                    <w:rPr>
                      <w:bCs/>
                      <w:szCs w:val="21"/>
                    </w:rPr>
                  </w:pPr>
                  <w:r>
                    <w:rPr>
                      <w:bCs/>
                      <w:kern w:val="0"/>
                      <w:szCs w:val="21"/>
                    </w:rPr>
                    <w:t>40.88</w:t>
                  </w:r>
                </w:p>
              </w:tc>
              <w:tc>
                <w:tcPr>
                  <w:tcW w:w="252" w:type="pct"/>
                  <w:vMerge w:val="restart"/>
                  <w:vAlign w:val="center"/>
                </w:tcPr>
                <w:p>
                  <w:pPr>
                    <w:snapToGrid w:val="0"/>
                    <w:jc w:val="center"/>
                    <w:rPr>
                      <w:bCs/>
                      <w:szCs w:val="21"/>
                    </w:rPr>
                  </w:pPr>
                  <w:r>
                    <w:rPr>
                      <w:rFonts w:hint="eastAsia"/>
                      <w:bCs/>
                      <w:szCs w:val="21"/>
                    </w:rPr>
                    <w:t>危险固废</w:t>
                  </w:r>
                </w:p>
              </w:tc>
              <w:tc>
                <w:tcPr>
                  <w:tcW w:w="918" w:type="pct"/>
                  <w:vAlign w:val="center"/>
                </w:tcPr>
                <w:p>
                  <w:pPr>
                    <w:snapToGrid w:val="0"/>
                    <w:jc w:val="center"/>
                    <w:rPr>
                      <w:bCs/>
                      <w:szCs w:val="21"/>
                    </w:rPr>
                  </w:pPr>
                  <w:r>
                    <w:rPr>
                      <w:rFonts w:hint="eastAsia"/>
                      <w:bCs/>
                      <w:szCs w:val="21"/>
                    </w:rPr>
                    <w:t>感染性废物8</w:t>
                  </w:r>
                  <w:r>
                    <w:rPr>
                      <w:bCs/>
                      <w:szCs w:val="21"/>
                    </w:rPr>
                    <w:t>41-001-01</w:t>
                  </w:r>
                </w:p>
              </w:tc>
              <w:tc>
                <w:tcPr>
                  <w:tcW w:w="510" w:type="pct"/>
                  <w:vAlign w:val="center"/>
                </w:tcPr>
                <w:p>
                  <w:pPr>
                    <w:snapToGrid w:val="0"/>
                    <w:jc w:val="center"/>
                    <w:rPr>
                      <w:bCs/>
                      <w:spacing w:val="-6"/>
                      <w:szCs w:val="21"/>
                    </w:rPr>
                  </w:pPr>
                  <w:r>
                    <w:rPr>
                      <w:bCs/>
                      <w:spacing w:val="-6"/>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0" w:type="pct"/>
                  <w:vMerge w:val="continue"/>
                  <w:vAlign w:val="center"/>
                </w:tcPr>
                <w:p>
                  <w:pPr>
                    <w:snapToGrid w:val="0"/>
                    <w:jc w:val="center"/>
                    <w:rPr>
                      <w:bCs/>
                      <w:szCs w:val="21"/>
                    </w:rPr>
                  </w:pPr>
                </w:p>
              </w:tc>
              <w:tc>
                <w:tcPr>
                  <w:tcW w:w="669" w:type="pct"/>
                  <w:vMerge w:val="continue"/>
                  <w:vAlign w:val="center"/>
                </w:tcPr>
                <w:p>
                  <w:pPr>
                    <w:snapToGrid w:val="0"/>
                    <w:jc w:val="center"/>
                    <w:rPr>
                      <w:bCs/>
                      <w:szCs w:val="21"/>
                    </w:rPr>
                  </w:pPr>
                </w:p>
              </w:tc>
              <w:tc>
                <w:tcPr>
                  <w:tcW w:w="582" w:type="pct"/>
                  <w:vMerge w:val="continue"/>
                  <w:vAlign w:val="center"/>
                </w:tcPr>
                <w:p>
                  <w:pPr>
                    <w:snapToGrid w:val="0"/>
                    <w:jc w:val="center"/>
                    <w:rPr>
                      <w:bCs/>
                      <w:szCs w:val="21"/>
                    </w:rPr>
                  </w:pPr>
                </w:p>
              </w:tc>
              <w:tc>
                <w:tcPr>
                  <w:tcW w:w="675" w:type="pct"/>
                  <w:vMerge w:val="continue"/>
                  <w:vAlign w:val="center"/>
                </w:tcPr>
                <w:p>
                  <w:pPr>
                    <w:snapToGrid w:val="0"/>
                    <w:jc w:val="center"/>
                    <w:rPr>
                      <w:bCs/>
                      <w:szCs w:val="21"/>
                    </w:rPr>
                  </w:pPr>
                </w:p>
              </w:tc>
              <w:tc>
                <w:tcPr>
                  <w:tcW w:w="753" w:type="pct"/>
                  <w:vMerge w:val="continue"/>
                  <w:vAlign w:val="center"/>
                </w:tcPr>
                <w:p>
                  <w:pPr>
                    <w:snapToGrid w:val="0"/>
                    <w:jc w:val="center"/>
                    <w:rPr>
                      <w:bCs/>
                      <w:kern w:val="0"/>
                      <w:szCs w:val="21"/>
                    </w:rPr>
                  </w:pPr>
                </w:p>
              </w:tc>
              <w:tc>
                <w:tcPr>
                  <w:tcW w:w="252" w:type="pct"/>
                  <w:vMerge w:val="continue"/>
                  <w:vAlign w:val="center"/>
                </w:tcPr>
                <w:p>
                  <w:pPr>
                    <w:snapToGrid w:val="0"/>
                    <w:jc w:val="center"/>
                    <w:rPr>
                      <w:bCs/>
                      <w:szCs w:val="21"/>
                    </w:rPr>
                  </w:pPr>
                </w:p>
              </w:tc>
              <w:tc>
                <w:tcPr>
                  <w:tcW w:w="918" w:type="pct"/>
                  <w:vAlign w:val="center"/>
                </w:tcPr>
                <w:p>
                  <w:pPr>
                    <w:snapToGrid w:val="0"/>
                    <w:jc w:val="center"/>
                    <w:rPr>
                      <w:bCs/>
                      <w:szCs w:val="21"/>
                    </w:rPr>
                  </w:pPr>
                  <w:r>
                    <w:rPr>
                      <w:rFonts w:hint="eastAsia"/>
                      <w:bCs/>
                      <w:szCs w:val="21"/>
                    </w:rPr>
                    <w:t>损伤性废物8</w:t>
                  </w:r>
                  <w:r>
                    <w:rPr>
                      <w:bCs/>
                      <w:szCs w:val="21"/>
                    </w:rPr>
                    <w:t>41-002-01</w:t>
                  </w:r>
                </w:p>
              </w:tc>
              <w:tc>
                <w:tcPr>
                  <w:tcW w:w="510" w:type="pct"/>
                  <w:vAlign w:val="center"/>
                </w:tcPr>
                <w:p>
                  <w:pPr>
                    <w:snapToGrid w:val="0"/>
                    <w:jc w:val="center"/>
                    <w:rPr>
                      <w:bCs/>
                      <w:spacing w:val="-6"/>
                      <w:szCs w:val="21"/>
                    </w:rPr>
                  </w:pPr>
                  <w:r>
                    <w:rPr>
                      <w:bCs/>
                      <w:spacing w:val="-6"/>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0" w:type="pct"/>
                  <w:vMerge w:val="continue"/>
                  <w:vAlign w:val="center"/>
                </w:tcPr>
                <w:p>
                  <w:pPr>
                    <w:snapToGrid w:val="0"/>
                    <w:jc w:val="center"/>
                    <w:rPr>
                      <w:bCs/>
                      <w:szCs w:val="21"/>
                    </w:rPr>
                  </w:pPr>
                </w:p>
              </w:tc>
              <w:tc>
                <w:tcPr>
                  <w:tcW w:w="669" w:type="pct"/>
                  <w:vMerge w:val="continue"/>
                  <w:vAlign w:val="center"/>
                </w:tcPr>
                <w:p>
                  <w:pPr>
                    <w:snapToGrid w:val="0"/>
                    <w:jc w:val="center"/>
                    <w:rPr>
                      <w:bCs/>
                      <w:szCs w:val="21"/>
                    </w:rPr>
                  </w:pPr>
                </w:p>
              </w:tc>
              <w:tc>
                <w:tcPr>
                  <w:tcW w:w="582" w:type="pct"/>
                  <w:vMerge w:val="continue"/>
                  <w:vAlign w:val="center"/>
                </w:tcPr>
                <w:p>
                  <w:pPr>
                    <w:snapToGrid w:val="0"/>
                    <w:jc w:val="center"/>
                    <w:rPr>
                      <w:bCs/>
                      <w:szCs w:val="21"/>
                    </w:rPr>
                  </w:pPr>
                </w:p>
              </w:tc>
              <w:tc>
                <w:tcPr>
                  <w:tcW w:w="675" w:type="pct"/>
                  <w:vMerge w:val="continue"/>
                  <w:vAlign w:val="center"/>
                </w:tcPr>
                <w:p>
                  <w:pPr>
                    <w:snapToGrid w:val="0"/>
                    <w:jc w:val="center"/>
                    <w:rPr>
                      <w:bCs/>
                      <w:szCs w:val="21"/>
                    </w:rPr>
                  </w:pPr>
                </w:p>
              </w:tc>
              <w:tc>
                <w:tcPr>
                  <w:tcW w:w="753" w:type="pct"/>
                  <w:vMerge w:val="continue"/>
                  <w:vAlign w:val="center"/>
                </w:tcPr>
                <w:p>
                  <w:pPr>
                    <w:snapToGrid w:val="0"/>
                    <w:jc w:val="center"/>
                    <w:rPr>
                      <w:bCs/>
                      <w:kern w:val="0"/>
                      <w:szCs w:val="21"/>
                    </w:rPr>
                  </w:pPr>
                </w:p>
              </w:tc>
              <w:tc>
                <w:tcPr>
                  <w:tcW w:w="252" w:type="pct"/>
                  <w:vMerge w:val="continue"/>
                  <w:vAlign w:val="center"/>
                </w:tcPr>
                <w:p>
                  <w:pPr>
                    <w:snapToGrid w:val="0"/>
                    <w:jc w:val="center"/>
                    <w:rPr>
                      <w:bCs/>
                      <w:szCs w:val="21"/>
                    </w:rPr>
                  </w:pPr>
                </w:p>
              </w:tc>
              <w:tc>
                <w:tcPr>
                  <w:tcW w:w="918" w:type="pct"/>
                  <w:vAlign w:val="center"/>
                </w:tcPr>
                <w:p>
                  <w:pPr>
                    <w:snapToGrid w:val="0"/>
                    <w:jc w:val="center"/>
                    <w:rPr>
                      <w:bCs/>
                      <w:szCs w:val="21"/>
                    </w:rPr>
                  </w:pPr>
                  <w:r>
                    <w:rPr>
                      <w:rFonts w:hint="eastAsia"/>
                      <w:bCs/>
                      <w:szCs w:val="21"/>
                    </w:rPr>
                    <w:t>病理性废物</w:t>
                  </w:r>
                </w:p>
                <w:p>
                  <w:pPr>
                    <w:snapToGrid w:val="0"/>
                    <w:jc w:val="center"/>
                    <w:rPr>
                      <w:bCs/>
                      <w:szCs w:val="21"/>
                    </w:rPr>
                  </w:pPr>
                  <w:r>
                    <w:rPr>
                      <w:rFonts w:hint="eastAsia"/>
                      <w:bCs/>
                      <w:szCs w:val="21"/>
                    </w:rPr>
                    <w:t>8</w:t>
                  </w:r>
                  <w:r>
                    <w:rPr>
                      <w:bCs/>
                      <w:szCs w:val="21"/>
                    </w:rPr>
                    <w:t>41-003-01</w:t>
                  </w:r>
                </w:p>
              </w:tc>
              <w:tc>
                <w:tcPr>
                  <w:tcW w:w="510" w:type="pct"/>
                  <w:vAlign w:val="center"/>
                </w:tcPr>
                <w:p>
                  <w:pPr>
                    <w:snapToGrid w:val="0"/>
                    <w:jc w:val="center"/>
                    <w:rPr>
                      <w:bCs/>
                      <w:spacing w:val="-6"/>
                      <w:szCs w:val="21"/>
                    </w:rPr>
                  </w:pPr>
                  <w:r>
                    <w:rPr>
                      <w:bCs/>
                      <w:spacing w:val="-6"/>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0" w:type="pct"/>
                  <w:vMerge w:val="continue"/>
                  <w:vAlign w:val="center"/>
                </w:tcPr>
                <w:p>
                  <w:pPr>
                    <w:snapToGrid w:val="0"/>
                    <w:jc w:val="center"/>
                    <w:rPr>
                      <w:bCs/>
                      <w:szCs w:val="21"/>
                    </w:rPr>
                  </w:pPr>
                </w:p>
              </w:tc>
              <w:tc>
                <w:tcPr>
                  <w:tcW w:w="669" w:type="pct"/>
                  <w:vMerge w:val="continue"/>
                  <w:vAlign w:val="center"/>
                </w:tcPr>
                <w:p>
                  <w:pPr>
                    <w:snapToGrid w:val="0"/>
                    <w:jc w:val="center"/>
                    <w:rPr>
                      <w:bCs/>
                      <w:szCs w:val="21"/>
                    </w:rPr>
                  </w:pPr>
                </w:p>
              </w:tc>
              <w:tc>
                <w:tcPr>
                  <w:tcW w:w="582" w:type="pct"/>
                  <w:vMerge w:val="continue"/>
                  <w:vAlign w:val="center"/>
                </w:tcPr>
                <w:p>
                  <w:pPr>
                    <w:snapToGrid w:val="0"/>
                    <w:jc w:val="center"/>
                    <w:rPr>
                      <w:bCs/>
                      <w:szCs w:val="21"/>
                    </w:rPr>
                  </w:pPr>
                </w:p>
              </w:tc>
              <w:tc>
                <w:tcPr>
                  <w:tcW w:w="675" w:type="pct"/>
                  <w:vMerge w:val="continue"/>
                  <w:vAlign w:val="center"/>
                </w:tcPr>
                <w:p>
                  <w:pPr>
                    <w:snapToGrid w:val="0"/>
                    <w:jc w:val="center"/>
                    <w:rPr>
                      <w:bCs/>
                      <w:szCs w:val="21"/>
                    </w:rPr>
                  </w:pPr>
                </w:p>
              </w:tc>
              <w:tc>
                <w:tcPr>
                  <w:tcW w:w="753" w:type="pct"/>
                  <w:vMerge w:val="continue"/>
                  <w:vAlign w:val="center"/>
                </w:tcPr>
                <w:p>
                  <w:pPr>
                    <w:snapToGrid w:val="0"/>
                    <w:jc w:val="center"/>
                    <w:rPr>
                      <w:bCs/>
                      <w:kern w:val="0"/>
                      <w:szCs w:val="21"/>
                    </w:rPr>
                  </w:pPr>
                </w:p>
              </w:tc>
              <w:tc>
                <w:tcPr>
                  <w:tcW w:w="252" w:type="pct"/>
                  <w:vMerge w:val="continue"/>
                  <w:vAlign w:val="center"/>
                </w:tcPr>
                <w:p>
                  <w:pPr>
                    <w:snapToGrid w:val="0"/>
                    <w:jc w:val="center"/>
                    <w:rPr>
                      <w:bCs/>
                      <w:szCs w:val="21"/>
                    </w:rPr>
                  </w:pPr>
                </w:p>
              </w:tc>
              <w:tc>
                <w:tcPr>
                  <w:tcW w:w="918" w:type="pct"/>
                  <w:vAlign w:val="center"/>
                </w:tcPr>
                <w:p>
                  <w:pPr>
                    <w:snapToGrid w:val="0"/>
                    <w:jc w:val="center"/>
                    <w:rPr>
                      <w:bCs/>
                      <w:szCs w:val="21"/>
                    </w:rPr>
                  </w:pPr>
                  <w:r>
                    <w:rPr>
                      <w:rFonts w:hint="eastAsia"/>
                      <w:bCs/>
                      <w:szCs w:val="21"/>
                    </w:rPr>
                    <w:t>化学性废物</w:t>
                  </w:r>
                </w:p>
                <w:p>
                  <w:pPr>
                    <w:snapToGrid w:val="0"/>
                    <w:jc w:val="center"/>
                    <w:rPr>
                      <w:bCs/>
                      <w:szCs w:val="21"/>
                    </w:rPr>
                  </w:pPr>
                  <w:r>
                    <w:rPr>
                      <w:rFonts w:hint="eastAsia"/>
                      <w:bCs/>
                      <w:szCs w:val="21"/>
                    </w:rPr>
                    <w:t>8</w:t>
                  </w:r>
                  <w:r>
                    <w:rPr>
                      <w:bCs/>
                      <w:szCs w:val="21"/>
                    </w:rPr>
                    <w:t>41-004-01</w:t>
                  </w:r>
                </w:p>
              </w:tc>
              <w:tc>
                <w:tcPr>
                  <w:tcW w:w="510" w:type="pct"/>
                  <w:vAlign w:val="center"/>
                </w:tcPr>
                <w:p>
                  <w:pPr>
                    <w:snapToGrid w:val="0"/>
                    <w:jc w:val="center"/>
                    <w:rPr>
                      <w:bCs/>
                      <w:spacing w:val="-6"/>
                      <w:szCs w:val="21"/>
                    </w:rPr>
                  </w:pPr>
                  <w:r>
                    <w:rPr>
                      <w:rFonts w:hint="eastAsia"/>
                      <w:bCs/>
                      <w:spacing w:val="-6"/>
                      <w:szCs w:val="21"/>
                    </w:rPr>
                    <w:t>T</w:t>
                  </w:r>
                  <w:r>
                    <w:rPr>
                      <w:bCs/>
                      <w:spacing w:val="-6"/>
                      <w:szCs w:val="21"/>
                    </w:rPr>
                    <w:t>/C/I/R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0" w:type="pct"/>
                  <w:vMerge w:val="continue"/>
                  <w:vAlign w:val="center"/>
                </w:tcPr>
                <w:p>
                  <w:pPr>
                    <w:snapToGrid w:val="0"/>
                    <w:jc w:val="center"/>
                    <w:rPr>
                      <w:bCs/>
                      <w:szCs w:val="21"/>
                    </w:rPr>
                  </w:pPr>
                </w:p>
              </w:tc>
              <w:tc>
                <w:tcPr>
                  <w:tcW w:w="669" w:type="pct"/>
                  <w:vMerge w:val="continue"/>
                  <w:vAlign w:val="center"/>
                </w:tcPr>
                <w:p>
                  <w:pPr>
                    <w:snapToGrid w:val="0"/>
                    <w:jc w:val="center"/>
                    <w:rPr>
                      <w:bCs/>
                      <w:szCs w:val="21"/>
                    </w:rPr>
                  </w:pPr>
                </w:p>
              </w:tc>
              <w:tc>
                <w:tcPr>
                  <w:tcW w:w="582" w:type="pct"/>
                  <w:vMerge w:val="continue"/>
                  <w:vAlign w:val="center"/>
                </w:tcPr>
                <w:p>
                  <w:pPr>
                    <w:snapToGrid w:val="0"/>
                    <w:jc w:val="center"/>
                    <w:rPr>
                      <w:bCs/>
                      <w:szCs w:val="21"/>
                    </w:rPr>
                  </w:pPr>
                </w:p>
              </w:tc>
              <w:tc>
                <w:tcPr>
                  <w:tcW w:w="675" w:type="pct"/>
                  <w:vMerge w:val="continue"/>
                  <w:vAlign w:val="center"/>
                </w:tcPr>
                <w:p>
                  <w:pPr>
                    <w:snapToGrid w:val="0"/>
                    <w:jc w:val="center"/>
                    <w:rPr>
                      <w:bCs/>
                      <w:szCs w:val="21"/>
                    </w:rPr>
                  </w:pPr>
                </w:p>
              </w:tc>
              <w:tc>
                <w:tcPr>
                  <w:tcW w:w="753" w:type="pct"/>
                  <w:vMerge w:val="continue"/>
                  <w:vAlign w:val="center"/>
                </w:tcPr>
                <w:p>
                  <w:pPr>
                    <w:snapToGrid w:val="0"/>
                    <w:jc w:val="center"/>
                    <w:rPr>
                      <w:bCs/>
                      <w:kern w:val="0"/>
                      <w:szCs w:val="21"/>
                    </w:rPr>
                  </w:pPr>
                </w:p>
              </w:tc>
              <w:tc>
                <w:tcPr>
                  <w:tcW w:w="252" w:type="pct"/>
                  <w:vMerge w:val="continue"/>
                  <w:vAlign w:val="center"/>
                </w:tcPr>
                <w:p>
                  <w:pPr>
                    <w:snapToGrid w:val="0"/>
                    <w:jc w:val="center"/>
                    <w:rPr>
                      <w:bCs/>
                      <w:szCs w:val="21"/>
                    </w:rPr>
                  </w:pPr>
                </w:p>
              </w:tc>
              <w:tc>
                <w:tcPr>
                  <w:tcW w:w="918" w:type="pct"/>
                  <w:vAlign w:val="center"/>
                </w:tcPr>
                <w:p>
                  <w:pPr>
                    <w:snapToGrid w:val="0"/>
                    <w:jc w:val="center"/>
                    <w:rPr>
                      <w:bCs/>
                      <w:szCs w:val="21"/>
                    </w:rPr>
                  </w:pPr>
                  <w:r>
                    <w:rPr>
                      <w:rFonts w:hint="eastAsia"/>
                      <w:bCs/>
                      <w:szCs w:val="21"/>
                    </w:rPr>
                    <w:t>药物性废物</w:t>
                  </w:r>
                </w:p>
                <w:p>
                  <w:pPr>
                    <w:snapToGrid w:val="0"/>
                    <w:jc w:val="center"/>
                    <w:rPr>
                      <w:bCs/>
                      <w:szCs w:val="21"/>
                    </w:rPr>
                  </w:pPr>
                  <w:r>
                    <w:rPr>
                      <w:rFonts w:hint="eastAsia"/>
                      <w:bCs/>
                      <w:szCs w:val="21"/>
                    </w:rPr>
                    <w:t>8</w:t>
                  </w:r>
                  <w:r>
                    <w:rPr>
                      <w:bCs/>
                      <w:szCs w:val="21"/>
                    </w:rPr>
                    <w:t>41-005-01</w:t>
                  </w:r>
                </w:p>
              </w:tc>
              <w:tc>
                <w:tcPr>
                  <w:tcW w:w="510" w:type="pct"/>
                  <w:vAlign w:val="center"/>
                </w:tcPr>
                <w:p>
                  <w:pPr>
                    <w:snapToGrid w:val="0"/>
                    <w:jc w:val="center"/>
                    <w:rPr>
                      <w:bCs/>
                      <w:spacing w:val="-6"/>
                      <w:szCs w:val="21"/>
                    </w:rPr>
                  </w:pPr>
                  <w:r>
                    <w:rPr>
                      <w:bCs/>
                      <w:spacing w:val="-6"/>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Align w:val="center"/>
                </w:tcPr>
                <w:p>
                  <w:pPr>
                    <w:snapToGrid w:val="0"/>
                    <w:jc w:val="center"/>
                    <w:rPr>
                      <w:bCs/>
                      <w:szCs w:val="21"/>
                    </w:rPr>
                  </w:pPr>
                  <w:r>
                    <w:rPr>
                      <w:rFonts w:hint="eastAsia"/>
                      <w:bCs/>
                      <w:szCs w:val="21"/>
                    </w:rPr>
                    <w:t>污泥</w:t>
                  </w:r>
                </w:p>
              </w:tc>
              <w:tc>
                <w:tcPr>
                  <w:tcW w:w="669" w:type="pct"/>
                  <w:vAlign w:val="center"/>
                </w:tcPr>
                <w:p>
                  <w:pPr>
                    <w:snapToGrid w:val="0"/>
                    <w:jc w:val="center"/>
                    <w:rPr>
                      <w:bCs/>
                      <w:szCs w:val="21"/>
                    </w:rPr>
                  </w:pPr>
                  <w:r>
                    <w:rPr>
                      <w:rFonts w:hint="eastAsia"/>
                      <w:bCs/>
                      <w:szCs w:val="21"/>
                    </w:rPr>
                    <w:t>污水处理站</w:t>
                  </w:r>
                </w:p>
              </w:tc>
              <w:tc>
                <w:tcPr>
                  <w:tcW w:w="582" w:type="pct"/>
                  <w:vAlign w:val="center"/>
                </w:tcPr>
                <w:p>
                  <w:pPr>
                    <w:snapToGrid w:val="0"/>
                    <w:jc w:val="center"/>
                    <w:rPr>
                      <w:bCs/>
                      <w:szCs w:val="21"/>
                    </w:rPr>
                  </w:pPr>
                  <w:r>
                    <w:rPr>
                      <w:rFonts w:hint="eastAsia"/>
                      <w:bCs/>
                      <w:szCs w:val="21"/>
                    </w:rPr>
                    <w:t>固态</w:t>
                  </w:r>
                </w:p>
              </w:tc>
              <w:tc>
                <w:tcPr>
                  <w:tcW w:w="675" w:type="pct"/>
                  <w:vAlign w:val="center"/>
                </w:tcPr>
                <w:p>
                  <w:pPr>
                    <w:snapToGrid w:val="0"/>
                    <w:jc w:val="center"/>
                    <w:rPr>
                      <w:bCs/>
                      <w:szCs w:val="21"/>
                    </w:rPr>
                  </w:pPr>
                  <w:r>
                    <w:rPr>
                      <w:rFonts w:hint="eastAsia"/>
                      <w:bCs/>
                      <w:szCs w:val="21"/>
                    </w:rPr>
                    <w:t>化粪池污泥、格栅渣、沉淀污泥等</w:t>
                  </w:r>
                </w:p>
              </w:tc>
              <w:tc>
                <w:tcPr>
                  <w:tcW w:w="753" w:type="pct"/>
                  <w:vAlign w:val="center"/>
                </w:tcPr>
                <w:p>
                  <w:pPr>
                    <w:snapToGrid w:val="0"/>
                    <w:jc w:val="center"/>
                    <w:rPr>
                      <w:bCs/>
                      <w:szCs w:val="21"/>
                    </w:rPr>
                  </w:pPr>
                  <w:r>
                    <w:rPr>
                      <w:rFonts w:hint="eastAsia"/>
                      <w:bCs/>
                      <w:szCs w:val="21"/>
                    </w:rPr>
                    <w:t>1</w:t>
                  </w:r>
                  <w:r>
                    <w:rPr>
                      <w:bCs/>
                      <w:szCs w:val="21"/>
                    </w:rPr>
                    <w:t>.1</w:t>
                  </w:r>
                </w:p>
              </w:tc>
              <w:tc>
                <w:tcPr>
                  <w:tcW w:w="252" w:type="pct"/>
                  <w:vMerge w:val="continue"/>
                  <w:vAlign w:val="center"/>
                </w:tcPr>
                <w:p>
                  <w:pPr>
                    <w:snapToGrid w:val="0"/>
                    <w:jc w:val="center"/>
                    <w:rPr>
                      <w:bCs/>
                      <w:szCs w:val="21"/>
                    </w:rPr>
                  </w:pPr>
                </w:p>
              </w:tc>
              <w:tc>
                <w:tcPr>
                  <w:tcW w:w="918" w:type="pct"/>
                  <w:vAlign w:val="center"/>
                </w:tcPr>
                <w:p>
                  <w:pPr>
                    <w:snapToGrid w:val="0"/>
                    <w:jc w:val="center"/>
                    <w:rPr>
                      <w:bCs/>
                      <w:szCs w:val="21"/>
                    </w:rPr>
                  </w:pPr>
                  <w:r>
                    <w:rPr>
                      <w:bCs/>
                      <w:szCs w:val="21"/>
                    </w:rPr>
                    <w:t>841-004-01</w:t>
                  </w:r>
                </w:p>
              </w:tc>
              <w:tc>
                <w:tcPr>
                  <w:tcW w:w="510" w:type="pct"/>
                  <w:vAlign w:val="center"/>
                </w:tcPr>
                <w:p>
                  <w:pPr>
                    <w:snapToGrid w:val="0"/>
                    <w:jc w:val="center"/>
                    <w:rPr>
                      <w:bCs/>
                      <w:spacing w:val="-6"/>
                      <w:szCs w:val="21"/>
                    </w:rPr>
                  </w:pPr>
                  <w:r>
                    <w:rPr>
                      <w:rFonts w:hint="eastAsia"/>
                      <w:bCs/>
                      <w:spacing w:val="-6"/>
                      <w:szCs w:val="21"/>
                    </w:rPr>
                    <w:t>T</w:t>
                  </w:r>
                  <w:r>
                    <w:rPr>
                      <w:bCs/>
                      <w:spacing w:val="-6"/>
                      <w:szCs w:val="21"/>
                    </w:rPr>
                    <w:t>/C/I/R</w:t>
                  </w:r>
                </w:p>
              </w:tc>
            </w:tr>
          </w:tbl>
          <w:p>
            <w:pPr>
              <w:spacing w:line="360" w:lineRule="auto"/>
              <w:ind w:firstLine="480" w:firstLineChars="200"/>
              <w:rPr>
                <w:sz w:val="24"/>
              </w:rPr>
            </w:pPr>
            <w:r>
              <w:rPr>
                <w:sz w:val="24"/>
              </w:rPr>
              <w:t>（2）环境管理要求</w:t>
            </w:r>
          </w:p>
          <w:p>
            <w:pPr>
              <w:spacing w:line="360" w:lineRule="auto"/>
              <w:ind w:firstLine="480" w:firstLineChars="200"/>
              <w:contextualSpacing/>
              <w:rPr>
                <w:sz w:val="24"/>
              </w:rPr>
            </w:pPr>
            <w:r>
              <w:rPr>
                <w:sz w:val="24"/>
              </w:rPr>
              <w:t>项目固体废物处理处置遵循减量化、资源化、无害化的原则，实行分类收集、贮存和运输。对一般固废与危险废物进行分类管理。</w:t>
            </w:r>
          </w:p>
          <w:p>
            <w:pPr>
              <w:spacing w:line="360" w:lineRule="auto"/>
              <w:ind w:firstLine="480" w:firstLineChars="200"/>
              <w:rPr>
                <w:sz w:val="24"/>
              </w:rPr>
            </w:pPr>
            <w:r>
              <w:rPr>
                <w:bCs/>
                <w:sz w:val="24"/>
              </w:rPr>
              <w:t>生活垃圾由垃圾桶分类收集后，定期由</w:t>
            </w:r>
            <w:r>
              <w:rPr>
                <w:sz w:val="24"/>
              </w:rPr>
              <w:t>环卫部门统一清运至垃圾填埋场处置</w:t>
            </w:r>
            <w:r>
              <w:rPr>
                <w:rFonts w:hint="eastAsia"/>
                <w:sz w:val="24"/>
              </w:rPr>
              <w:t>；废油脂</w:t>
            </w:r>
            <w:r>
              <w:rPr>
                <w:sz w:val="24"/>
              </w:rPr>
              <w:t>专用容器盛放，定期交由有资质单位外运处置</w:t>
            </w:r>
            <w:r>
              <w:rPr>
                <w:rFonts w:hint="eastAsia"/>
                <w:sz w:val="24"/>
              </w:rPr>
              <w:t>；废包装物集中收集后由废旧资源回收部门回收利用；废离子交换树脂定期由更换单位回收处置；废输液瓶</w:t>
            </w:r>
            <w:r>
              <w:rPr>
                <w:sz w:val="24"/>
              </w:rPr>
              <w:t>统一收集后交由专业单位统一收集处理。</w:t>
            </w:r>
          </w:p>
          <w:p>
            <w:pPr>
              <w:spacing w:line="360" w:lineRule="auto"/>
              <w:ind w:firstLine="480" w:firstLineChars="200"/>
              <w:rPr>
                <w:sz w:val="24"/>
              </w:rPr>
            </w:pPr>
            <w:r>
              <w:rPr>
                <w:sz w:val="24"/>
              </w:rPr>
              <w:t>按照医院垃圾污物的性质与形态，医疗废物大致分：感染性废物、病理性废物、损伤性废物、</w:t>
            </w:r>
            <w:r>
              <w:rPr>
                <w:rFonts w:hint="eastAsia"/>
                <w:sz w:val="24"/>
              </w:rPr>
              <w:t>化学性废物、</w:t>
            </w:r>
            <w:r>
              <w:rPr>
                <w:sz w:val="24"/>
              </w:rPr>
              <w:t>药物性废物。医疗废物包括检验后污染的纱布、棉球；试管、注射器等一次性医疗器材等，属于《国家危险废物名录》</w:t>
            </w:r>
            <w:r>
              <w:rPr>
                <w:rFonts w:hint="eastAsia"/>
                <w:sz w:val="24"/>
              </w:rPr>
              <w:t>中</w:t>
            </w:r>
            <w:r>
              <w:rPr>
                <w:sz w:val="24"/>
              </w:rPr>
              <w:t>医疗废物（编号 HW01），应</w:t>
            </w:r>
            <w:r>
              <w:rPr>
                <w:rFonts w:hint="eastAsia"/>
                <w:sz w:val="24"/>
              </w:rPr>
              <w:t>按照《医疗废物管理条例》、《医疗废物集中处置技术规范（试行）》、《医疗卫生机构医疗废物管理办法》等相关规定，评价要求本项目医疗废物处理流程主要为收集→贮存→运输→处理。在收集、贮存、运输、交接等中应做到如下管理要求。</w:t>
            </w:r>
          </w:p>
          <w:p>
            <w:pPr>
              <w:spacing w:line="360" w:lineRule="auto"/>
              <w:ind w:firstLine="480" w:firstLineChars="200"/>
              <w:rPr>
                <w:sz w:val="24"/>
              </w:rPr>
            </w:pPr>
            <w:r>
              <w:rPr>
                <w:rFonts w:hint="eastAsia" w:ascii="宋体" w:hAnsi="宋体"/>
                <w:sz w:val="24"/>
              </w:rPr>
              <w:t>①</w:t>
            </w:r>
            <w:r>
              <w:rPr>
                <w:rFonts w:hint="eastAsia"/>
                <w:sz w:val="24"/>
              </w:rPr>
              <w:t>医疗废物收集</w:t>
            </w:r>
          </w:p>
          <w:p>
            <w:pPr>
              <w:spacing w:line="360" w:lineRule="auto"/>
              <w:ind w:firstLine="480" w:firstLineChars="200"/>
              <w:rPr>
                <w:sz w:val="24"/>
              </w:rPr>
            </w:pPr>
            <w:r>
              <w:rPr>
                <w:rFonts w:hint="eastAsia"/>
                <w:sz w:val="24"/>
              </w:rPr>
              <w:t xml:space="preserve">根据医疗废物的类别，将医疗废物分置于符合《医疗废物专用包装物、容器的标准和警示标识的规定》的包装物或容器内，对于化学性和药物性医疗废物应单独收集包装，感染性废物采用双层塑料袋包装，病理性废物采用单层塑料袋包装，损伤性废物采用利器盒包装。 </w:t>
            </w:r>
          </w:p>
          <w:p>
            <w:pPr>
              <w:spacing w:line="360" w:lineRule="auto"/>
              <w:ind w:firstLine="480" w:firstLineChars="200"/>
              <w:rPr>
                <w:sz w:val="24"/>
              </w:rPr>
            </w:pPr>
            <w:r>
              <w:rPr>
                <w:rFonts w:hint="eastAsia" w:ascii="宋体" w:hAnsi="宋体"/>
                <w:sz w:val="24"/>
              </w:rPr>
              <w:t>②</w:t>
            </w:r>
            <w:r>
              <w:rPr>
                <w:rFonts w:hint="eastAsia"/>
                <w:sz w:val="24"/>
              </w:rPr>
              <w:t>医疗废物的贮存</w:t>
            </w:r>
          </w:p>
          <w:p>
            <w:pPr>
              <w:spacing w:line="360" w:lineRule="auto"/>
              <w:ind w:firstLine="480" w:firstLineChars="200"/>
              <w:rPr>
                <w:sz w:val="24"/>
              </w:rPr>
            </w:pPr>
            <w:r>
              <w:rPr>
                <w:rFonts w:hint="eastAsia"/>
                <w:sz w:val="24"/>
              </w:rPr>
              <w:t>医疗废物暂存间房应尽量远离医疗区和人员活动区，且设置于室内，与其他用房不相通，设单独的入口，并设置明显的警示标识。建设单位禁止将医疗废物在非收集、非暂时贮存地点倾倒、堆放。</w:t>
            </w:r>
          </w:p>
          <w:p>
            <w:pPr>
              <w:spacing w:line="360" w:lineRule="auto"/>
              <w:ind w:firstLine="480" w:firstLineChars="200"/>
              <w:rPr>
                <w:sz w:val="24"/>
              </w:rPr>
            </w:pPr>
            <w:r>
              <w:rPr>
                <w:rFonts w:hint="eastAsia"/>
                <w:sz w:val="24"/>
              </w:rPr>
              <w:t xml:space="preserve">为防止医疗废物暂存间房散发臭味，根据国务院令第 </w:t>
            </w:r>
            <w:r>
              <w:rPr>
                <w:sz w:val="24"/>
              </w:rPr>
              <w:t xml:space="preserve">380 </w:t>
            </w:r>
            <w:r>
              <w:rPr>
                <w:rFonts w:hint="eastAsia"/>
                <w:sz w:val="24"/>
              </w:rPr>
              <w:t>号《医院废物管理条例》暂存时间不超过</w:t>
            </w:r>
            <w:r>
              <w:rPr>
                <w:sz w:val="24"/>
              </w:rPr>
              <w:t>2</w:t>
            </w:r>
            <w:r>
              <w:rPr>
                <w:rFonts w:hint="eastAsia"/>
                <w:sz w:val="24"/>
              </w:rPr>
              <w:t>天，尽量做到日产日清。确实不能做到日产日清，且当地最高气温高于25℃时，应将医疗废物低温暂时贮存，暂时贮存温度应低于20℃，在医疗废物清运后，对暂存间房喷洒消毒杀菌剂。</w:t>
            </w:r>
          </w:p>
          <w:p>
            <w:pPr>
              <w:spacing w:line="360" w:lineRule="auto"/>
              <w:ind w:firstLine="480" w:firstLineChars="200"/>
              <w:rPr>
                <w:sz w:val="24"/>
              </w:rPr>
            </w:pPr>
            <w:r>
              <w:rPr>
                <w:rFonts w:hint="eastAsia"/>
                <w:sz w:val="24"/>
              </w:rPr>
              <w:t>根据《危险废物贮存污染控制标准》（GB18597-2023）可知，医疗废物暂存间要求如下：</w:t>
            </w:r>
          </w:p>
          <w:p>
            <w:pPr>
              <w:spacing w:line="360" w:lineRule="auto"/>
              <w:ind w:firstLine="480" w:firstLineChars="200"/>
              <w:rPr>
                <w:sz w:val="24"/>
              </w:rPr>
            </w:pPr>
            <w:r>
              <w:rPr>
                <w:sz w:val="24"/>
              </w:rPr>
              <w:t>a.</w:t>
            </w:r>
            <w:r>
              <w:rPr>
                <w:rFonts w:hint="eastAsia"/>
                <w:bCs/>
                <w:sz w:val="24"/>
              </w:rPr>
              <w:t xml:space="preserve"> 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sz w:val="24"/>
              </w:rPr>
            </w:pPr>
            <w:r>
              <w:rPr>
                <w:rFonts w:hint="eastAsia"/>
                <w:sz w:val="24"/>
              </w:rPr>
              <w:t>b</w:t>
            </w:r>
            <w:r>
              <w:rPr>
                <w:sz w:val="24"/>
              </w:rPr>
              <w:t>.</w:t>
            </w:r>
            <w:r>
              <w:rPr>
                <w:rFonts w:hint="eastAsia"/>
                <w:bCs/>
                <w:sz w:val="24"/>
              </w:rPr>
              <w:t xml:space="preserve"> 贮存设施应根据危险废物的类别、数量、形态、物理化学性质和污染防治等要求设置必要的贮存分区，避免不相容的危险废物接触、混合；</w:t>
            </w:r>
          </w:p>
          <w:p>
            <w:pPr>
              <w:spacing w:line="360" w:lineRule="auto"/>
              <w:ind w:firstLine="480" w:firstLineChars="200"/>
              <w:rPr>
                <w:sz w:val="24"/>
              </w:rPr>
            </w:pPr>
            <w:r>
              <w:rPr>
                <w:rFonts w:hint="eastAsia"/>
                <w:sz w:val="24"/>
              </w:rPr>
              <w:t>c</w:t>
            </w:r>
            <w:r>
              <w:rPr>
                <w:sz w:val="24"/>
              </w:rPr>
              <w:t>.</w:t>
            </w:r>
            <w:r>
              <w:rPr>
                <w:rFonts w:hint="eastAsia"/>
                <w:bCs/>
                <w:sz w:val="24"/>
              </w:rPr>
              <w:t xml:space="preserve"> 贮存设施或贮存分区内地面、墙面裙脚、堵截泄漏的围堰、接触危险废物的隔板和墙体等应采用坚固的材料建造，表面无裂缝；</w:t>
            </w:r>
          </w:p>
          <w:p>
            <w:pPr>
              <w:spacing w:line="360" w:lineRule="auto"/>
              <w:ind w:firstLine="480" w:firstLineChars="200"/>
              <w:rPr>
                <w:sz w:val="24"/>
              </w:rPr>
            </w:pPr>
            <w:r>
              <w:rPr>
                <w:rFonts w:hint="eastAsia"/>
                <w:sz w:val="24"/>
              </w:rPr>
              <w:t>d.</w:t>
            </w:r>
            <w:r>
              <w:rPr>
                <w:rFonts w:hint="eastAsia"/>
                <w:bCs/>
                <w:sz w:val="24"/>
              </w:rPr>
              <w:t xml:space="preserve">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bCs/>
                <w:sz w:val="24"/>
              </w:rPr>
              <w:t xml:space="preserve">1 m </w:t>
            </w:r>
            <w:r>
              <w:rPr>
                <w:rFonts w:hint="eastAsia"/>
                <w:bCs/>
                <w:sz w:val="24"/>
              </w:rPr>
              <w:t>厚黏土层（渗透系数不大于</w:t>
            </w:r>
            <w:r>
              <w:rPr>
                <w:bCs/>
                <w:sz w:val="24"/>
              </w:rPr>
              <w:t>10-7 cm/s</w:t>
            </w:r>
            <w:r>
              <w:rPr>
                <w:rFonts w:hint="eastAsia"/>
                <w:bCs/>
                <w:sz w:val="24"/>
              </w:rPr>
              <w:t>），或至少</w:t>
            </w:r>
            <w:r>
              <w:rPr>
                <w:bCs/>
                <w:sz w:val="24"/>
              </w:rPr>
              <w:t xml:space="preserve">2 mm </w:t>
            </w:r>
            <w:r>
              <w:rPr>
                <w:rFonts w:hint="eastAsia"/>
                <w:bCs/>
                <w:sz w:val="24"/>
              </w:rPr>
              <w:t>厚高密度聚乙烯膜等人工防渗材料（渗透系数不大于</w:t>
            </w:r>
            <w:r>
              <w:rPr>
                <w:bCs/>
                <w:sz w:val="24"/>
              </w:rPr>
              <w:t>10-10 cm/s</w:t>
            </w:r>
            <w:r>
              <w:rPr>
                <w:rFonts w:hint="eastAsia"/>
                <w:bCs/>
                <w:sz w:val="24"/>
              </w:rPr>
              <w:t>），或其他防渗性能等效的材料；</w:t>
            </w:r>
          </w:p>
          <w:p>
            <w:pPr>
              <w:spacing w:line="360" w:lineRule="auto"/>
              <w:ind w:firstLine="480" w:firstLineChars="200"/>
              <w:rPr>
                <w:sz w:val="24"/>
              </w:rPr>
            </w:pPr>
            <w:r>
              <w:rPr>
                <w:rFonts w:hint="eastAsia"/>
                <w:sz w:val="24"/>
              </w:rPr>
              <w:t>e</w:t>
            </w:r>
            <w:r>
              <w:rPr>
                <w:sz w:val="24"/>
              </w:rPr>
              <w:t>.</w:t>
            </w:r>
            <w:r>
              <w:rPr>
                <w:rFonts w:hint="eastAsia"/>
                <w:bCs/>
                <w:sz w:val="24"/>
              </w:rPr>
              <w:t xml:space="preserve"> 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sz w:val="24"/>
              </w:rPr>
            </w:pPr>
            <w:r>
              <w:rPr>
                <w:sz w:val="24"/>
              </w:rPr>
              <w:t>f.</w:t>
            </w:r>
            <w:r>
              <w:rPr>
                <w:rFonts w:hint="eastAsia"/>
                <w:bCs/>
                <w:sz w:val="24"/>
              </w:rPr>
              <w:t xml:space="preserve"> 贮存设施应采取技术和管理措施防止无关人员进入。</w:t>
            </w:r>
          </w:p>
          <w:p>
            <w:pPr>
              <w:spacing w:line="360" w:lineRule="auto"/>
              <w:ind w:firstLine="480" w:firstLineChars="200"/>
              <w:rPr>
                <w:sz w:val="24"/>
              </w:rPr>
            </w:pPr>
            <w:r>
              <w:rPr>
                <w:rFonts w:hint="eastAsia" w:ascii="宋体" w:hAnsi="宋体"/>
                <w:sz w:val="24"/>
              </w:rPr>
              <w:t>③</w:t>
            </w:r>
            <w:r>
              <w:rPr>
                <w:rFonts w:hint="eastAsia"/>
                <w:sz w:val="24"/>
              </w:rPr>
              <w:t>医疗废物运输</w:t>
            </w:r>
          </w:p>
          <w:p>
            <w:pPr>
              <w:spacing w:line="360" w:lineRule="auto"/>
              <w:ind w:firstLine="480" w:firstLineChars="200"/>
              <w:rPr>
                <w:rFonts w:ascii="宋体" w:hAnsi="宋体" w:cs="宋体"/>
                <w:sz w:val="24"/>
              </w:rPr>
            </w:pPr>
            <w:r>
              <w:rPr>
                <w:rFonts w:hint="eastAsia" w:ascii="宋体" w:hAnsi="宋体" w:cs="宋体"/>
                <w:sz w:val="24"/>
              </w:rPr>
              <w:t>a 医院设置专门的医疗废物运输通道，设置专用电梯，禁止在人员活动常用通道运输医疗废物。</w:t>
            </w:r>
          </w:p>
          <w:p>
            <w:pPr>
              <w:spacing w:line="360" w:lineRule="auto"/>
              <w:ind w:firstLine="480" w:firstLineChars="200"/>
              <w:rPr>
                <w:rFonts w:ascii="宋体" w:hAnsi="宋体" w:cs="宋体"/>
                <w:sz w:val="24"/>
              </w:rPr>
            </w:pPr>
            <w:r>
              <w:rPr>
                <w:rFonts w:hint="eastAsia" w:ascii="宋体" w:hAnsi="宋体" w:cs="宋体"/>
                <w:sz w:val="24"/>
              </w:rPr>
              <w:t>b</w:t>
            </w:r>
            <w:r>
              <w:rPr>
                <w:rFonts w:ascii="宋体" w:hAnsi="宋体" w:cs="宋体"/>
                <w:sz w:val="24"/>
              </w:rPr>
              <w:t>.</w:t>
            </w:r>
            <w:r>
              <w:rPr>
                <w:rFonts w:hint="eastAsia" w:ascii="宋体" w:hAnsi="宋体" w:cs="宋体"/>
                <w:sz w:val="24"/>
              </w:rPr>
              <w:t>医疗废物运输工具：选择符合《医疗废物转运车技术要求》（GB19217-2003）的专用医疗废物运输车；</w:t>
            </w:r>
          </w:p>
          <w:p>
            <w:pPr>
              <w:spacing w:line="360" w:lineRule="auto"/>
              <w:ind w:firstLine="480" w:firstLineChars="200"/>
              <w:rPr>
                <w:rFonts w:ascii="宋体" w:hAnsi="宋体" w:cs="宋体"/>
                <w:sz w:val="24"/>
              </w:rPr>
            </w:pPr>
            <w:r>
              <w:rPr>
                <w:rFonts w:hint="eastAsia" w:ascii="宋体" w:hAnsi="宋体" w:cs="宋体"/>
                <w:sz w:val="24"/>
              </w:rPr>
              <w:t>c 配合《道路危险货物运输管理规定》、《汽车危险货物运输规则》、《道路运输危险货物车辆标志》等相关道路运输法规来规划；</w:t>
            </w:r>
          </w:p>
          <w:p>
            <w:pPr>
              <w:spacing w:line="360" w:lineRule="auto"/>
              <w:ind w:firstLine="480" w:firstLineChars="200"/>
              <w:rPr>
                <w:rFonts w:ascii="宋体" w:hAnsi="宋体" w:cs="宋体"/>
                <w:sz w:val="24"/>
              </w:rPr>
            </w:pPr>
            <w:r>
              <w:rPr>
                <w:rFonts w:hint="eastAsia" w:ascii="宋体" w:hAnsi="宋体" w:cs="宋体"/>
                <w:sz w:val="24"/>
              </w:rPr>
              <w:t>d 在运输车上须配置有橡胶手套、工作手套、口罩、消毒水、急救医药箱、灭火器、紧急应变手册等工具；</w:t>
            </w:r>
          </w:p>
          <w:p>
            <w:pPr>
              <w:spacing w:line="360" w:lineRule="auto"/>
              <w:ind w:firstLine="480" w:firstLineChars="200"/>
              <w:rPr>
                <w:rFonts w:ascii="宋体" w:hAnsi="宋体" w:cs="宋体"/>
                <w:sz w:val="24"/>
              </w:rPr>
            </w:pPr>
            <w:r>
              <w:rPr>
                <w:rFonts w:hint="eastAsia" w:ascii="宋体" w:hAnsi="宋体" w:cs="宋体"/>
                <w:sz w:val="24"/>
              </w:rPr>
              <w:t>e 医疗废物收集、运送、贮存、处置等工作的人员和管理人员，配备必要的防护用品，定期进行健康检查，必要时，对有关人员进行免疫接种，防止其受到健康损害；</w:t>
            </w:r>
          </w:p>
          <w:p>
            <w:pPr>
              <w:spacing w:line="360" w:lineRule="auto"/>
              <w:ind w:firstLine="480" w:firstLineChars="200"/>
              <w:rPr>
                <w:rFonts w:ascii="宋体" w:hAnsi="宋体" w:cs="宋体"/>
                <w:sz w:val="24"/>
              </w:rPr>
            </w:pPr>
            <w:r>
              <w:rPr>
                <w:rFonts w:hint="eastAsia" w:ascii="宋体" w:hAnsi="宋体" w:cs="宋体"/>
                <w:sz w:val="24"/>
              </w:rPr>
              <w:t>f 医疗废物运输采取密闭措施，防止医疗废物流失、泄漏、扩散；</w:t>
            </w:r>
          </w:p>
          <w:p>
            <w:pPr>
              <w:spacing w:line="360" w:lineRule="auto"/>
              <w:ind w:firstLine="480" w:firstLineChars="200"/>
              <w:rPr>
                <w:rFonts w:ascii="宋体" w:hAnsi="宋体" w:cs="宋体"/>
                <w:sz w:val="24"/>
              </w:rPr>
            </w:pPr>
            <w:r>
              <w:rPr>
                <w:rFonts w:hint="eastAsia" w:ascii="宋体" w:hAnsi="宋体" w:cs="宋体"/>
                <w:sz w:val="24"/>
              </w:rPr>
              <w:t>g 运输车管理方面，必须备有车辆里程登记表，车辆驾驶人员每日要做里程登记，并且定期进行车辆维护检修。</w:t>
            </w:r>
          </w:p>
          <w:p>
            <w:pPr>
              <w:spacing w:line="360" w:lineRule="auto"/>
              <w:ind w:firstLine="480" w:firstLineChars="200"/>
              <w:rPr>
                <w:rFonts w:ascii="宋体" w:hAnsi="宋体" w:cs="宋体"/>
                <w:sz w:val="24"/>
              </w:rPr>
            </w:pPr>
            <w:r>
              <w:rPr>
                <w:rFonts w:hint="eastAsia" w:ascii="宋体" w:hAnsi="宋体" w:cs="宋体"/>
                <w:sz w:val="24"/>
              </w:rPr>
              <w:t>④医疗废物交接</w:t>
            </w:r>
          </w:p>
          <w:p>
            <w:pPr>
              <w:spacing w:line="360" w:lineRule="auto"/>
              <w:ind w:firstLine="480" w:firstLineChars="200"/>
              <w:rPr>
                <w:sz w:val="24"/>
              </w:rPr>
            </w:pPr>
            <w:r>
              <w:rPr>
                <w:rFonts w:hint="eastAsia"/>
                <w:sz w:val="24"/>
              </w:rPr>
              <w:t>医疗废物的转移执行《危险废物转移联单管理办法》（国家环境保护总局令  第五号），《危险废物转移联单》（医疗废物专用）一式两份，每月一张，由处置单位医疗废物运行人员和医院医疗废物管理人员交接时填写，医院和处置单位分别保存，保存时间为5年。每车每次运送的医疗废物采用《医疗废物运送登记卡》管理，一车一卡，由医疗卫生机构医疗废物管理人员交接时填写并签字。当医疗废物运至处置单位时，处置单位接收人员确认该登记卡上填写的医疗废物数量真实、准确后签收。</w:t>
            </w:r>
          </w:p>
          <w:p>
            <w:pPr>
              <w:spacing w:line="360" w:lineRule="auto"/>
              <w:ind w:firstLine="480" w:firstLineChars="200"/>
              <w:contextualSpacing/>
              <w:rPr>
                <w:sz w:val="24"/>
              </w:rPr>
            </w:pPr>
            <w:r>
              <w:rPr>
                <w:sz w:val="24"/>
              </w:rPr>
              <w:t>综上，本项目运营期间各类固废均可得到妥善处置，不会产生二次污染，对周边环境影响较小。</w:t>
            </w:r>
          </w:p>
          <w:p>
            <w:pPr>
              <w:widowControl/>
              <w:spacing w:line="360" w:lineRule="auto"/>
              <w:ind w:firstLine="482" w:firstLineChars="200"/>
              <w:rPr>
                <w:b/>
                <w:kern w:val="0"/>
                <w:sz w:val="24"/>
              </w:rPr>
            </w:pPr>
            <w:r>
              <w:rPr>
                <w:b/>
                <w:kern w:val="0"/>
                <w:sz w:val="24"/>
              </w:rPr>
              <w:t>5、土壤、地下水</w:t>
            </w:r>
          </w:p>
          <w:p>
            <w:pPr>
              <w:spacing w:line="360" w:lineRule="auto"/>
              <w:ind w:firstLine="480" w:firstLineChars="200"/>
              <w:rPr>
                <w:bCs/>
                <w:sz w:val="24"/>
              </w:rPr>
            </w:pPr>
            <w:r>
              <w:rPr>
                <w:bCs/>
                <w:sz w:val="24"/>
              </w:rPr>
              <w:t xml:space="preserve">根据《环境影响评价技术导则 土壤环境（试行）》（HJ 964-2018）附录 A表 A.1 土壤环境影响评价项目类别，以及《环境影响评价技术导则 地下水环境》（HJ610-2016）附录 A“地下水 环境评价行业分类表”可知，本项目类别为IV类，可不开展土壤环境和地下水环境评价。 </w:t>
            </w:r>
          </w:p>
          <w:p>
            <w:pPr>
              <w:spacing w:line="360" w:lineRule="auto"/>
              <w:ind w:firstLine="480" w:firstLineChars="200"/>
              <w:rPr>
                <w:sz w:val="24"/>
              </w:rPr>
            </w:pPr>
            <w:r>
              <w:rPr>
                <w:bCs/>
                <w:sz w:val="24"/>
              </w:rPr>
              <w:t>项目运营期对地下水、土壤环境影响的主要污染源为污水处理站和医疗废物暂存间。项目区地面硬化，污水处理站区、医疗废物暂存间属于重点防渗区，按照</w:t>
            </w:r>
            <w:r>
              <w:rPr>
                <w:rFonts w:hint="eastAsia"/>
                <w:sz w:val="24"/>
              </w:rPr>
              <w:t>《危险废物贮存污染控制标准》（GB18597-2023）</w:t>
            </w:r>
            <w:r>
              <w:rPr>
                <w:bCs/>
                <w:sz w:val="24"/>
              </w:rPr>
              <w:t>、《医院污水处理工程技术规范》</w:t>
            </w:r>
            <w:r>
              <w:rPr>
                <w:rFonts w:hint="eastAsia"/>
                <w:bCs/>
                <w:sz w:val="24"/>
              </w:rPr>
              <w:t>（H</w:t>
            </w:r>
            <w:r>
              <w:rPr>
                <w:bCs/>
                <w:sz w:val="24"/>
              </w:rPr>
              <w:t>J2029-2013</w:t>
            </w:r>
            <w:r>
              <w:rPr>
                <w:rFonts w:hint="eastAsia"/>
                <w:bCs/>
                <w:sz w:val="24"/>
              </w:rPr>
              <w:t>）</w:t>
            </w:r>
            <w:r>
              <w:rPr>
                <w:bCs/>
                <w:sz w:val="24"/>
              </w:rPr>
              <w:t>等要求</w:t>
            </w:r>
            <w:r>
              <w:rPr>
                <w:sz w:val="24"/>
              </w:rPr>
              <w:t>对废水处理间及医疗废物暂存间的地面</w:t>
            </w:r>
            <w:r>
              <w:rPr>
                <w:bCs/>
                <w:sz w:val="24"/>
              </w:rPr>
              <w:t>进行防渗处理</w:t>
            </w:r>
            <w:r>
              <w:rPr>
                <w:sz w:val="24"/>
              </w:rPr>
              <w:t>，，从而避免废水污染物和医疗废物泄漏对土壤、地下水造成污染。</w:t>
            </w:r>
          </w:p>
          <w:p>
            <w:pPr>
              <w:spacing w:line="360" w:lineRule="auto"/>
              <w:ind w:firstLine="442" w:firstLineChars="200"/>
              <w:contextualSpacing/>
              <w:rPr>
                <w:b/>
                <w:kern w:val="0"/>
                <w:sz w:val="24"/>
              </w:rPr>
            </w:pPr>
            <w:r>
              <w:rPr>
                <w:b/>
                <w:bCs/>
                <w:spacing w:val="-10"/>
                <w:sz w:val="24"/>
              </w:rPr>
              <w:t>6</w:t>
            </w:r>
            <w:r>
              <w:rPr>
                <w:b/>
                <w:kern w:val="0"/>
                <w:sz w:val="24"/>
              </w:rPr>
              <w:t>、生态</w:t>
            </w:r>
          </w:p>
          <w:p>
            <w:pPr>
              <w:spacing w:line="360" w:lineRule="auto"/>
              <w:ind w:firstLine="480" w:firstLineChars="200"/>
              <w:contextualSpacing/>
              <w:rPr>
                <w:sz w:val="24"/>
              </w:rPr>
            </w:pPr>
            <w:r>
              <w:rPr>
                <w:rFonts w:hint="eastAsia"/>
                <w:sz w:val="24"/>
              </w:rPr>
              <w:t>本项目总占地面积9323.144</w:t>
            </w:r>
            <w:r>
              <w:rPr>
                <w:sz w:val="24"/>
              </w:rPr>
              <w:t>m</w:t>
            </w:r>
            <w:r>
              <w:rPr>
                <w:sz w:val="24"/>
                <w:vertAlign w:val="superscript"/>
              </w:rPr>
              <w:t>2</w:t>
            </w:r>
            <w:r>
              <w:rPr>
                <w:rFonts w:hint="eastAsia"/>
                <w:sz w:val="24"/>
              </w:rPr>
              <w:t>，占地现状为子洲县卫校和马蹄沟镇乡镇卫生院，项目对生态环境的影响主要表现在施工期扬尘对周围植被的影响，但此过程短暂，随着施工结束影响也随之停止，且运营期项目对区域空地进行绿化，面积为1290.69m</w:t>
            </w:r>
            <w:r>
              <w:rPr>
                <w:sz w:val="24"/>
                <w:vertAlign w:val="superscript"/>
              </w:rPr>
              <w:t>2</w:t>
            </w:r>
            <w:r>
              <w:rPr>
                <w:rFonts w:hint="eastAsia"/>
                <w:sz w:val="24"/>
              </w:rPr>
              <w:t>，在一定程度上有利于区域生态系统功能，改善生态环境。因此本项目的建设对生态环境基本无影响。</w:t>
            </w:r>
          </w:p>
          <w:p>
            <w:pPr>
              <w:spacing w:line="360" w:lineRule="auto"/>
              <w:ind w:firstLine="442" w:firstLineChars="200"/>
              <w:contextualSpacing/>
              <w:rPr>
                <w:b/>
                <w:bCs/>
                <w:spacing w:val="-10"/>
                <w:sz w:val="24"/>
              </w:rPr>
            </w:pPr>
            <w:r>
              <w:rPr>
                <w:b/>
                <w:bCs/>
                <w:spacing w:val="-10"/>
                <w:sz w:val="24"/>
              </w:rPr>
              <w:t>7、环境风险</w:t>
            </w:r>
          </w:p>
          <w:p>
            <w:pPr>
              <w:spacing w:line="360" w:lineRule="auto"/>
              <w:ind w:firstLine="480" w:firstLineChars="200"/>
              <w:contextualSpacing/>
              <w:rPr>
                <w:bCs/>
                <w:sz w:val="24"/>
              </w:rPr>
            </w:pPr>
            <w:r>
              <w:rPr>
                <w:bCs/>
                <w:sz w:val="24"/>
              </w:rPr>
              <w:t>（1）危险物质和风险源分布情况</w:t>
            </w:r>
          </w:p>
          <w:p>
            <w:pPr>
              <w:adjustRightInd w:val="0"/>
              <w:spacing w:line="360" w:lineRule="auto"/>
              <w:ind w:firstLine="480" w:firstLineChars="200"/>
              <w:contextualSpacing/>
              <w:rPr>
                <w:bCs/>
                <w:sz w:val="24"/>
              </w:rPr>
            </w:pPr>
            <w:r>
              <w:rPr>
                <w:bCs/>
                <w:sz w:val="24"/>
              </w:rPr>
              <w:t>本项目为医院项目，经检索《建设项目环境风险评价技术导则》（HJ169-2018）附录B，本项目经营过程涉及</w:t>
            </w:r>
            <w:r>
              <w:rPr>
                <w:rFonts w:hint="eastAsia"/>
                <w:bCs/>
                <w:sz w:val="24"/>
              </w:rPr>
              <w:t>的</w:t>
            </w:r>
            <w:r>
              <w:rPr>
                <w:bCs/>
                <w:sz w:val="24"/>
              </w:rPr>
              <w:t>环境风险物质</w:t>
            </w:r>
            <w:r>
              <w:rPr>
                <w:rFonts w:hint="eastAsia"/>
                <w:bCs/>
                <w:sz w:val="24"/>
              </w:rPr>
              <w:t>为乙醇(医用酒精)、柴油和次氯酸钠</w:t>
            </w:r>
            <w:r>
              <w:rPr>
                <w:bCs/>
                <w:sz w:val="24"/>
              </w:rPr>
              <w:t>。</w:t>
            </w:r>
            <w:r>
              <w:rPr>
                <w:rFonts w:hint="eastAsia"/>
                <w:bCs/>
                <w:sz w:val="24"/>
              </w:rPr>
              <w:t>本项目危险物质数量与临界量比值见下表4-11。</w:t>
            </w:r>
          </w:p>
          <w:p>
            <w:pPr>
              <w:adjustRightInd w:val="0"/>
              <w:ind w:firstLine="482" w:firstLineChars="200"/>
              <w:contextualSpacing/>
              <w:jc w:val="center"/>
              <w:rPr>
                <w:bCs/>
                <w:sz w:val="24"/>
              </w:rPr>
            </w:pPr>
            <w:r>
              <w:rPr>
                <w:rFonts w:hint="eastAsia"/>
                <w:b/>
                <w:sz w:val="24"/>
              </w:rPr>
              <w:t>表4-11    危险物质数量与临界量比值表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639"/>
              <w:gridCol w:w="2088"/>
              <w:gridCol w:w="1677"/>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26" w:type="dxa"/>
                  <w:vAlign w:val="center"/>
                </w:tcPr>
                <w:p>
                  <w:pPr>
                    <w:adjustRightInd w:val="0"/>
                    <w:snapToGrid w:val="0"/>
                    <w:jc w:val="center"/>
                    <w:rPr>
                      <w:b/>
                      <w:bCs/>
                      <w:szCs w:val="21"/>
                    </w:rPr>
                  </w:pPr>
                  <w:r>
                    <w:rPr>
                      <w:b/>
                      <w:bCs/>
                      <w:szCs w:val="21"/>
                    </w:rPr>
                    <w:t>危险化学品名称</w:t>
                  </w:r>
                </w:p>
              </w:tc>
              <w:tc>
                <w:tcPr>
                  <w:tcW w:w="1639" w:type="dxa"/>
                  <w:vAlign w:val="center"/>
                </w:tcPr>
                <w:p>
                  <w:pPr>
                    <w:adjustRightInd w:val="0"/>
                    <w:snapToGrid w:val="0"/>
                    <w:jc w:val="center"/>
                    <w:rPr>
                      <w:b/>
                      <w:bCs/>
                      <w:szCs w:val="21"/>
                    </w:rPr>
                  </w:pPr>
                  <w:r>
                    <w:rPr>
                      <w:b/>
                      <w:bCs/>
                      <w:szCs w:val="21"/>
                    </w:rPr>
                    <w:t>临界量Q（t）</w:t>
                  </w:r>
                </w:p>
              </w:tc>
              <w:tc>
                <w:tcPr>
                  <w:tcW w:w="2088" w:type="dxa"/>
                  <w:vAlign w:val="center"/>
                </w:tcPr>
                <w:p>
                  <w:pPr>
                    <w:adjustRightInd w:val="0"/>
                    <w:snapToGrid w:val="0"/>
                    <w:jc w:val="center"/>
                    <w:rPr>
                      <w:b/>
                      <w:bCs/>
                      <w:szCs w:val="21"/>
                    </w:rPr>
                  </w:pPr>
                  <w:r>
                    <w:rPr>
                      <w:b/>
                      <w:bCs/>
                      <w:szCs w:val="21"/>
                    </w:rPr>
                    <w:t>实际量q（t）</w:t>
                  </w:r>
                </w:p>
              </w:tc>
              <w:tc>
                <w:tcPr>
                  <w:tcW w:w="1677" w:type="dxa"/>
                  <w:vAlign w:val="center"/>
                </w:tcPr>
                <w:p>
                  <w:pPr>
                    <w:pStyle w:val="66"/>
                    <w:tabs>
                      <w:tab w:val="left" w:pos="5327"/>
                      <w:tab w:val="left" w:pos="6326"/>
                      <w:tab w:val="left" w:pos="7230"/>
                      <w:tab w:val="left" w:pos="9301"/>
                    </w:tabs>
                    <w:ind w:firstLine="103" w:firstLineChars="49"/>
                    <w:rPr>
                      <w:bCs/>
                    </w:rPr>
                  </w:pPr>
                  <w:r>
                    <w:rPr>
                      <w:bCs/>
                    </w:rPr>
                    <w:t>q/Q</w:t>
                  </w:r>
                </w:p>
              </w:tc>
              <w:tc>
                <w:tcPr>
                  <w:tcW w:w="1329" w:type="dxa"/>
                  <w:vAlign w:val="center"/>
                </w:tcPr>
                <w:p>
                  <w:pPr>
                    <w:pStyle w:val="66"/>
                    <w:tabs>
                      <w:tab w:val="left" w:pos="5327"/>
                      <w:tab w:val="left" w:pos="6326"/>
                      <w:tab w:val="left" w:pos="7230"/>
                      <w:tab w:val="left" w:pos="9301"/>
                    </w:tabs>
                    <w:jc w:val="both"/>
                    <w:rPr>
                      <w:bCs/>
                    </w:rPr>
                  </w:pPr>
                  <w:r>
                    <w:rPr>
                      <w:bCs/>
                    </w:rPr>
                    <w:t>辨识结果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vAlign w:val="center"/>
                </w:tcPr>
                <w:p>
                  <w:pPr>
                    <w:adjustRightInd w:val="0"/>
                    <w:snapToGrid w:val="0"/>
                    <w:jc w:val="center"/>
                    <w:rPr>
                      <w:szCs w:val="21"/>
                    </w:rPr>
                  </w:pPr>
                  <w:r>
                    <w:rPr>
                      <w:rFonts w:hint="eastAsia"/>
                      <w:szCs w:val="21"/>
                    </w:rPr>
                    <w:t>乙醇</w:t>
                  </w:r>
                </w:p>
              </w:tc>
              <w:tc>
                <w:tcPr>
                  <w:tcW w:w="1639" w:type="dxa"/>
                  <w:vAlign w:val="center"/>
                </w:tcPr>
                <w:p>
                  <w:pPr>
                    <w:adjustRightInd w:val="0"/>
                    <w:snapToGrid w:val="0"/>
                    <w:jc w:val="center"/>
                    <w:rPr>
                      <w:szCs w:val="21"/>
                    </w:rPr>
                  </w:pPr>
                  <w:r>
                    <w:rPr>
                      <w:rFonts w:hint="eastAsia"/>
                      <w:szCs w:val="21"/>
                    </w:rPr>
                    <w:t>500</w:t>
                  </w:r>
                </w:p>
              </w:tc>
              <w:tc>
                <w:tcPr>
                  <w:tcW w:w="2088" w:type="dxa"/>
                  <w:vAlign w:val="center"/>
                </w:tcPr>
                <w:p>
                  <w:pPr>
                    <w:adjustRightInd w:val="0"/>
                    <w:snapToGrid w:val="0"/>
                    <w:jc w:val="center"/>
                    <w:rPr>
                      <w:szCs w:val="21"/>
                    </w:rPr>
                  </w:pPr>
                  <w:r>
                    <w:rPr>
                      <w:szCs w:val="21"/>
                    </w:rPr>
                    <w:t>0.</w:t>
                  </w:r>
                  <w:r>
                    <w:rPr>
                      <w:rFonts w:hint="eastAsia"/>
                      <w:szCs w:val="21"/>
                    </w:rPr>
                    <w:t>425</w:t>
                  </w:r>
                </w:p>
              </w:tc>
              <w:tc>
                <w:tcPr>
                  <w:tcW w:w="1677" w:type="dxa"/>
                  <w:vAlign w:val="center"/>
                </w:tcPr>
                <w:p>
                  <w:pPr>
                    <w:jc w:val="center"/>
                    <w:rPr>
                      <w:szCs w:val="21"/>
                    </w:rPr>
                  </w:pPr>
                  <w:r>
                    <w:rPr>
                      <w:rFonts w:hint="eastAsia"/>
                      <w:szCs w:val="21"/>
                    </w:rPr>
                    <w:t>0.0009</w:t>
                  </w:r>
                </w:p>
              </w:tc>
              <w:tc>
                <w:tcPr>
                  <w:tcW w:w="1329" w:type="dxa"/>
                  <w:vMerge w:val="restart"/>
                  <w:vAlign w:val="center"/>
                </w:tcPr>
                <w:p>
                  <w:pPr>
                    <w:adjustRightInd w:val="0"/>
                    <w:snapToGrid w:val="0"/>
                    <w:jc w:val="center"/>
                    <w:rPr>
                      <w:szCs w:val="21"/>
                    </w:rPr>
                  </w:pPr>
                  <w:r>
                    <w:rPr>
                      <w:rFonts w:hint="eastAsia"/>
                      <w:szCs w:val="21"/>
                    </w:rPr>
                    <w:t>环境风险潜势为</w:t>
                  </w:r>
                  <w:r>
                    <w:rPr>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vAlign w:val="center"/>
                </w:tcPr>
                <w:p>
                  <w:pPr>
                    <w:adjustRightInd w:val="0"/>
                    <w:snapToGrid w:val="0"/>
                    <w:jc w:val="center"/>
                    <w:rPr>
                      <w:szCs w:val="21"/>
                    </w:rPr>
                  </w:pPr>
                  <w:r>
                    <w:rPr>
                      <w:rFonts w:hint="eastAsia"/>
                      <w:szCs w:val="21"/>
                    </w:rPr>
                    <w:t>柴油</w:t>
                  </w:r>
                </w:p>
              </w:tc>
              <w:tc>
                <w:tcPr>
                  <w:tcW w:w="1639" w:type="dxa"/>
                  <w:vAlign w:val="center"/>
                </w:tcPr>
                <w:p>
                  <w:pPr>
                    <w:adjustRightInd w:val="0"/>
                    <w:snapToGrid w:val="0"/>
                    <w:jc w:val="center"/>
                    <w:rPr>
                      <w:szCs w:val="21"/>
                    </w:rPr>
                  </w:pPr>
                  <w:r>
                    <w:rPr>
                      <w:rFonts w:hint="eastAsia"/>
                      <w:szCs w:val="21"/>
                    </w:rPr>
                    <w:t>2</w:t>
                  </w:r>
                  <w:r>
                    <w:rPr>
                      <w:szCs w:val="21"/>
                    </w:rPr>
                    <w:t>500</w:t>
                  </w:r>
                </w:p>
              </w:tc>
              <w:tc>
                <w:tcPr>
                  <w:tcW w:w="2088" w:type="dxa"/>
                  <w:vAlign w:val="center"/>
                </w:tcPr>
                <w:p>
                  <w:pPr>
                    <w:adjustRightInd w:val="0"/>
                    <w:snapToGrid w:val="0"/>
                    <w:jc w:val="center"/>
                    <w:rPr>
                      <w:szCs w:val="21"/>
                    </w:rPr>
                  </w:pPr>
                  <w:r>
                    <w:rPr>
                      <w:rFonts w:hint="eastAsia"/>
                      <w:szCs w:val="21"/>
                    </w:rPr>
                    <w:t>0</w:t>
                  </w:r>
                  <w:r>
                    <w:rPr>
                      <w:szCs w:val="21"/>
                    </w:rPr>
                    <w:t>.84</w:t>
                  </w:r>
                </w:p>
              </w:tc>
              <w:tc>
                <w:tcPr>
                  <w:tcW w:w="1677" w:type="dxa"/>
                  <w:vAlign w:val="center"/>
                </w:tcPr>
                <w:p>
                  <w:pPr>
                    <w:jc w:val="center"/>
                    <w:rPr>
                      <w:szCs w:val="21"/>
                    </w:rPr>
                  </w:pPr>
                  <w:r>
                    <w:rPr>
                      <w:rFonts w:hint="eastAsia"/>
                      <w:szCs w:val="21"/>
                    </w:rPr>
                    <w:t>0</w:t>
                  </w:r>
                  <w:r>
                    <w:rPr>
                      <w:szCs w:val="21"/>
                    </w:rPr>
                    <w:t>.0003</w:t>
                  </w:r>
                </w:p>
              </w:tc>
              <w:tc>
                <w:tcPr>
                  <w:tcW w:w="1329"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vAlign w:val="center"/>
                </w:tcPr>
                <w:p>
                  <w:pPr>
                    <w:adjustRightInd w:val="0"/>
                    <w:snapToGrid w:val="0"/>
                    <w:jc w:val="center"/>
                    <w:rPr>
                      <w:szCs w:val="21"/>
                    </w:rPr>
                  </w:pPr>
                  <w:r>
                    <w:rPr>
                      <w:rFonts w:hint="eastAsia"/>
                      <w:szCs w:val="21"/>
                    </w:rPr>
                    <w:t>次氯酸钠</w:t>
                  </w:r>
                </w:p>
              </w:tc>
              <w:tc>
                <w:tcPr>
                  <w:tcW w:w="1639" w:type="dxa"/>
                  <w:vAlign w:val="center"/>
                </w:tcPr>
                <w:p>
                  <w:pPr>
                    <w:adjustRightInd w:val="0"/>
                    <w:snapToGrid w:val="0"/>
                    <w:jc w:val="center"/>
                    <w:rPr>
                      <w:szCs w:val="21"/>
                    </w:rPr>
                  </w:pPr>
                  <w:r>
                    <w:rPr>
                      <w:rFonts w:hint="eastAsia"/>
                      <w:szCs w:val="21"/>
                    </w:rPr>
                    <w:t>5</w:t>
                  </w:r>
                </w:p>
              </w:tc>
              <w:tc>
                <w:tcPr>
                  <w:tcW w:w="2088" w:type="dxa"/>
                  <w:vAlign w:val="center"/>
                </w:tcPr>
                <w:p>
                  <w:pPr>
                    <w:adjustRightInd w:val="0"/>
                    <w:snapToGrid w:val="0"/>
                    <w:jc w:val="center"/>
                    <w:rPr>
                      <w:szCs w:val="21"/>
                    </w:rPr>
                  </w:pPr>
                  <w:r>
                    <w:rPr>
                      <w:rFonts w:hint="eastAsia"/>
                      <w:szCs w:val="21"/>
                    </w:rPr>
                    <w:t>0</w:t>
                  </w:r>
                  <w:r>
                    <w:rPr>
                      <w:szCs w:val="21"/>
                    </w:rPr>
                    <w:t>.1</w:t>
                  </w:r>
                </w:p>
              </w:tc>
              <w:tc>
                <w:tcPr>
                  <w:tcW w:w="1677" w:type="dxa"/>
                  <w:vAlign w:val="center"/>
                </w:tcPr>
                <w:p>
                  <w:pPr>
                    <w:jc w:val="center"/>
                    <w:rPr>
                      <w:szCs w:val="21"/>
                    </w:rPr>
                  </w:pPr>
                  <w:r>
                    <w:rPr>
                      <w:rFonts w:hint="eastAsia"/>
                      <w:szCs w:val="21"/>
                    </w:rPr>
                    <w:t>0</w:t>
                  </w:r>
                  <w:r>
                    <w:rPr>
                      <w:szCs w:val="21"/>
                    </w:rPr>
                    <w:t>.02</w:t>
                  </w:r>
                </w:p>
              </w:tc>
              <w:tc>
                <w:tcPr>
                  <w:tcW w:w="1329"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vAlign w:val="center"/>
                </w:tcPr>
                <w:p>
                  <w:pPr>
                    <w:adjustRightInd w:val="0"/>
                    <w:snapToGrid w:val="0"/>
                    <w:jc w:val="center"/>
                    <w:rPr>
                      <w:szCs w:val="21"/>
                    </w:rPr>
                  </w:pPr>
                  <w:r>
                    <w:rPr>
                      <w:rFonts w:hint="eastAsia"/>
                      <w:szCs w:val="21"/>
                    </w:rPr>
                    <w:t>合计</w:t>
                  </w:r>
                </w:p>
              </w:tc>
              <w:tc>
                <w:tcPr>
                  <w:tcW w:w="1639" w:type="dxa"/>
                  <w:vAlign w:val="center"/>
                </w:tcPr>
                <w:p>
                  <w:pPr>
                    <w:adjustRightInd w:val="0"/>
                    <w:snapToGrid w:val="0"/>
                    <w:jc w:val="center"/>
                    <w:rPr>
                      <w:szCs w:val="21"/>
                    </w:rPr>
                  </w:pPr>
                </w:p>
              </w:tc>
              <w:tc>
                <w:tcPr>
                  <w:tcW w:w="2088" w:type="dxa"/>
                  <w:vAlign w:val="center"/>
                </w:tcPr>
                <w:p>
                  <w:pPr>
                    <w:adjustRightInd w:val="0"/>
                    <w:snapToGrid w:val="0"/>
                    <w:jc w:val="center"/>
                    <w:rPr>
                      <w:szCs w:val="21"/>
                    </w:rPr>
                  </w:pPr>
                  <w:r>
                    <w:rPr>
                      <w:rFonts w:hint="eastAsia"/>
                      <w:szCs w:val="21"/>
                    </w:rPr>
                    <w:t>—</w:t>
                  </w:r>
                </w:p>
              </w:tc>
              <w:tc>
                <w:tcPr>
                  <w:tcW w:w="1677" w:type="dxa"/>
                  <w:vAlign w:val="center"/>
                </w:tcPr>
                <w:p>
                  <w:pPr>
                    <w:adjustRightInd w:val="0"/>
                    <w:snapToGrid w:val="0"/>
                    <w:jc w:val="center"/>
                    <w:rPr>
                      <w:szCs w:val="21"/>
                    </w:rPr>
                  </w:pPr>
                  <w:r>
                    <w:rPr>
                      <w:rFonts w:hint="eastAsia"/>
                      <w:szCs w:val="21"/>
                    </w:rPr>
                    <w:t>0.0</w:t>
                  </w:r>
                  <w:r>
                    <w:rPr>
                      <w:szCs w:val="21"/>
                    </w:rPr>
                    <w:t>212</w:t>
                  </w:r>
                </w:p>
              </w:tc>
              <w:tc>
                <w:tcPr>
                  <w:tcW w:w="1329" w:type="dxa"/>
                  <w:vMerge w:val="continue"/>
                  <w:vAlign w:val="center"/>
                </w:tcPr>
                <w:p>
                  <w:pPr>
                    <w:adjustRightInd w:val="0"/>
                    <w:snapToGrid w:val="0"/>
                    <w:jc w:val="center"/>
                    <w:rPr>
                      <w:szCs w:val="21"/>
                    </w:rPr>
                  </w:pPr>
                </w:p>
              </w:tc>
            </w:tr>
          </w:tbl>
          <w:p>
            <w:pPr>
              <w:adjustRightInd w:val="0"/>
              <w:spacing w:before="120" w:beforeLines="50" w:line="360" w:lineRule="auto"/>
              <w:ind w:firstLine="480" w:firstLineChars="200"/>
              <w:contextualSpacing/>
              <w:rPr>
                <w:bCs/>
                <w:sz w:val="24"/>
              </w:rPr>
            </w:pPr>
            <w:r>
              <w:rPr>
                <w:rFonts w:hint="eastAsia"/>
                <w:bCs/>
                <w:sz w:val="24"/>
              </w:rPr>
              <w:t xml:space="preserve">根据《建设项目环境风险评价技术导则》（HJ/T169-2018）规定，本项目为评价等级为简单分析。 </w:t>
            </w:r>
          </w:p>
          <w:p>
            <w:pPr>
              <w:spacing w:line="360" w:lineRule="auto"/>
              <w:ind w:firstLine="480" w:firstLineChars="200"/>
              <w:contextualSpacing/>
              <w:rPr>
                <w:bCs/>
                <w:sz w:val="24"/>
              </w:rPr>
            </w:pPr>
            <w:r>
              <w:rPr>
                <w:bCs/>
                <w:sz w:val="24"/>
              </w:rPr>
              <w:t>（2）影响途经</w:t>
            </w:r>
          </w:p>
          <w:p>
            <w:pPr>
              <w:adjustRightInd w:val="0"/>
              <w:spacing w:line="360" w:lineRule="auto"/>
              <w:ind w:firstLine="480" w:firstLineChars="200"/>
              <w:contextualSpacing/>
              <w:rPr>
                <w:bCs/>
                <w:sz w:val="24"/>
              </w:rPr>
            </w:pPr>
            <w:r>
              <w:rPr>
                <w:rFonts w:hint="eastAsia"/>
                <w:sz w:val="24"/>
              </w:rPr>
              <w:t>根据分析可知，</w:t>
            </w:r>
            <w:r>
              <w:rPr>
                <w:bCs/>
                <w:sz w:val="24"/>
              </w:rPr>
              <w:t>本项目风险途径主要为</w:t>
            </w:r>
            <w:r>
              <w:rPr>
                <w:rFonts w:hint="eastAsia"/>
                <w:bCs/>
                <w:sz w:val="24"/>
              </w:rPr>
              <w:t>柴油</w:t>
            </w:r>
            <w:r>
              <w:rPr>
                <w:bCs/>
                <w:sz w:val="24"/>
              </w:rPr>
              <w:t>发生泄漏，遇明火或高温引起的火灾爆炸事故</w:t>
            </w:r>
            <w:r>
              <w:rPr>
                <w:rFonts w:hint="eastAsia"/>
                <w:bCs/>
                <w:sz w:val="24"/>
              </w:rPr>
              <w:t>；</w:t>
            </w:r>
            <w:r>
              <w:rPr>
                <w:sz w:val="24"/>
              </w:rPr>
              <w:t>试剂操作不当造成的</w:t>
            </w:r>
            <w:r>
              <w:rPr>
                <w:rFonts w:hint="eastAsia"/>
                <w:sz w:val="24"/>
              </w:rPr>
              <w:t>泄漏、中毒、</w:t>
            </w:r>
            <w:r>
              <w:rPr>
                <w:sz w:val="24"/>
              </w:rPr>
              <w:t>火灾、爆炸风险</w:t>
            </w:r>
            <w:r>
              <w:rPr>
                <w:rFonts w:hint="eastAsia"/>
                <w:sz w:val="24"/>
              </w:rPr>
              <w:t>；</w:t>
            </w:r>
            <w:r>
              <w:rPr>
                <w:rFonts w:hint="eastAsia"/>
                <w:bCs/>
                <w:sz w:val="24"/>
              </w:rPr>
              <w:t>废水</w:t>
            </w:r>
            <w:r>
              <w:rPr>
                <w:bCs/>
                <w:sz w:val="24"/>
              </w:rPr>
              <w:t>站处理设施事故状态下废水污染物超标排放，可能对污水处理厂水质达标排放造成不利影响</w:t>
            </w:r>
            <w:r>
              <w:rPr>
                <w:rFonts w:hint="eastAsia"/>
                <w:bCs/>
                <w:sz w:val="24"/>
              </w:rPr>
              <w:t>；</w:t>
            </w:r>
            <w:r>
              <w:rPr>
                <w:bCs/>
                <w:sz w:val="24"/>
              </w:rPr>
              <w:t>医疗废物在收集、贮存、运送过程中存在泄露的环境风险。</w:t>
            </w:r>
          </w:p>
          <w:p>
            <w:pPr>
              <w:spacing w:line="360" w:lineRule="auto"/>
              <w:ind w:firstLine="480" w:firstLineChars="200"/>
              <w:contextualSpacing/>
              <w:rPr>
                <w:bCs/>
                <w:sz w:val="24"/>
              </w:rPr>
            </w:pPr>
            <w:r>
              <w:rPr>
                <w:rFonts w:hint="eastAsia"/>
                <w:bCs/>
                <w:sz w:val="24"/>
              </w:rPr>
              <w:t>（3）环境影响分析</w:t>
            </w:r>
          </w:p>
          <w:p>
            <w:pPr>
              <w:spacing w:line="360" w:lineRule="auto"/>
              <w:ind w:firstLine="480" w:firstLineChars="200"/>
              <w:contextualSpacing/>
              <w:rPr>
                <w:rFonts w:ascii="宋体" w:hAnsi="宋体"/>
                <w:bCs/>
                <w:sz w:val="24"/>
              </w:rPr>
            </w:pPr>
            <w:r>
              <w:rPr>
                <w:rFonts w:hint="eastAsia" w:ascii="宋体" w:hAnsi="宋体"/>
                <w:bCs/>
                <w:sz w:val="24"/>
              </w:rPr>
              <w:t>①柴油泄漏事故影响分析</w:t>
            </w:r>
          </w:p>
          <w:p>
            <w:pPr>
              <w:spacing w:line="360" w:lineRule="auto"/>
              <w:ind w:firstLine="480" w:firstLineChars="200"/>
              <w:contextualSpacing/>
              <w:rPr>
                <w:rFonts w:ascii="宋体" w:hAnsi="宋体"/>
                <w:bCs/>
                <w:sz w:val="24"/>
              </w:rPr>
            </w:pPr>
            <w:r>
              <w:rPr>
                <w:rFonts w:ascii="宋体" w:hAnsi="宋体"/>
                <w:bCs/>
                <w:sz w:val="24"/>
              </w:rPr>
              <w:t>当</w:t>
            </w:r>
            <w:r>
              <w:rPr>
                <w:rFonts w:hint="eastAsia" w:ascii="宋体" w:hAnsi="宋体"/>
                <w:bCs/>
                <w:sz w:val="24"/>
              </w:rPr>
              <w:t>油桶</w:t>
            </w:r>
            <w:r>
              <w:rPr>
                <w:rFonts w:ascii="宋体" w:hAnsi="宋体"/>
                <w:bCs/>
                <w:sz w:val="24"/>
              </w:rPr>
              <w:t>发生泄漏，油品会在土壤内部由于重力作用沿垂直方向渗透。</w:t>
            </w:r>
            <w:r>
              <w:rPr>
                <w:rFonts w:hint="eastAsia" w:ascii="宋体" w:hAnsi="宋体"/>
                <w:bCs/>
                <w:sz w:val="24"/>
              </w:rPr>
              <w:t>但由于油类物质</w:t>
            </w:r>
            <w:r>
              <w:rPr>
                <w:rFonts w:ascii="宋体" w:hAnsi="宋体"/>
                <w:bCs/>
                <w:sz w:val="24"/>
              </w:rPr>
              <w:t>是稍有粘性的液体，因此，事故发生后油品泄漏及时得到控制，短期油品泄漏事故造成的土壤影响一般仅限于泄漏点下方20cm以内的土层，很难下渗到2m以下。</w:t>
            </w:r>
            <w:r>
              <w:rPr>
                <w:rFonts w:hint="eastAsia" w:ascii="宋体" w:hAnsi="宋体"/>
                <w:bCs/>
                <w:sz w:val="24"/>
              </w:rPr>
              <w:t>当</w:t>
            </w:r>
            <w:r>
              <w:rPr>
                <w:rFonts w:ascii="宋体" w:hAnsi="宋体"/>
                <w:bCs/>
                <w:sz w:val="24"/>
              </w:rPr>
              <w:t>发生油品泄漏时，受硬化地面阻隔影响，泄漏的油品数量有限，如果回收及时得当，影响范围不大，油品下渗到地下水中的可能性很小，对土壤影响也较小。</w:t>
            </w:r>
            <w:r>
              <w:rPr>
                <w:rFonts w:hint="eastAsia" w:ascii="宋体" w:hAnsi="宋体"/>
                <w:bCs/>
                <w:sz w:val="24"/>
              </w:rPr>
              <w:t>但油品物质发生</w:t>
            </w:r>
            <w:r>
              <w:rPr>
                <w:rFonts w:ascii="宋体" w:hAnsi="宋体"/>
                <w:bCs/>
                <w:sz w:val="24"/>
              </w:rPr>
              <w:t>泄漏时，其中的易挥发成分会以无组织形式向外界扩散对外界大气环境造成</w:t>
            </w:r>
            <w:r>
              <w:rPr>
                <w:rFonts w:hint="eastAsia" w:ascii="宋体" w:hAnsi="宋体"/>
                <w:bCs/>
                <w:sz w:val="24"/>
              </w:rPr>
              <w:t>一定的</w:t>
            </w:r>
            <w:r>
              <w:rPr>
                <w:rFonts w:ascii="宋体" w:hAnsi="宋体"/>
                <w:bCs/>
                <w:sz w:val="24"/>
              </w:rPr>
              <w:t>污染</w:t>
            </w:r>
            <w:r>
              <w:rPr>
                <w:rFonts w:hint="eastAsia" w:ascii="宋体" w:hAnsi="宋体"/>
                <w:bCs/>
                <w:sz w:val="24"/>
              </w:rPr>
              <w:t>。</w:t>
            </w:r>
          </w:p>
          <w:p>
            <w:pPr>
              <w:spacing w:line="360" w:lineRule="auto"/>
              <w:ind w:firstLine="480" w:firstLineChars="200"/>
              <w:contextualSpacing/>
              <w:rPr>
                <w:bCs/>
                <w:sz w:val="24"/>
              </w:rPr>
            </w:pPr>
            <w:r>
              <w:rPr>
                <w:rFonts w:hint="eastAsia" w:ascii="宋体" w:hAnsi="宋体"/>
                <w:bCs/>
                <w:sz w:val="24"/>
              </w:rPr>
              <w:t>②试剂泄漏事故影响分析</w:t>
            </w:r>
          </w:p>
          <w:p>
            <w:pPr>
              <w:spacing w:line="360" w:lineRule="auto"/>
              <w:ind w:firstLine="480" w:firstLineChars="200"/>
              <w:contextualSpacing/>
              <w:rPr>
                <w:bCs/>
                <w:sz w:val="24"/>
              </w:rPr>
            </w:pPr>
            <w:r>
              <w:rPr>
                <w:rFonts w:hint="eastAsia"/>
                <w:bCs/>
                <w:sz w:val="24"/>
              </w:rPr>
              <w:t>医院使用的化学品种类繁多，其中包括易燃易爆的乙醇等，若运营过程中试剂操作或管理不善可能发生火灾爆炸事故，对周围环境和周围人群产生影响。</w:t>
            </w:r>
          </w:p>
          <w:p>
            <w:pPr>
              <w:spacing w:line="360" w:lineRule="auto"/>
              <w:ind w:firstLine="480" w:firstLineChars="200"/>
              <w:contextualSpacing/>
              <w:rPr>
                <w:bCs/>
                <w:sz w:val="24"/>
              </w:rPr>
            </w:pPr>
            <w:r>
              <w:rPr>
                <w:rFonts w:hint="eastAsia" w:ascii="宋体" w:hAnsi="宋体"/>
                <w:bCs/>
                <w:sz w:val="24"/>
              </w:rPr>
              <w:t>③医疗废水事故影响分析</w:t>
            </w:r>
          </w:p>
          <w:p>
            <w:pPr>
              <w:spacing w:line="360" w:lineRule="auto"/>
              <w:ind w:firstLine="480" w:firstLineChars="200"/>
              <w:contextualSpacing/>
              <w:rPr>
                <w:bCs/>
                <w:sz w:val="24"/>
              </w:rPr>
            </w:pPr>
            <w:r>
              <w:rPr>
                <w:rFonts w:hint="eastAsia"/>
                <w:bCs/>
                <w:sz w:val="24"/>
              </w:rPr>
              <w:t>医疗废水处理过程中的事故因素为操作不当或处理设施失灵，废水不能达标排放。医院污水可能沾染病人的血、尿、便或受到粪便、细菌和病毒等病原性微生物污染，可以诱发疾病或造成伤害；含有</w:t>
            </w:r>
            <w:r>
              <w:rPr>
                <w:bCs/>
                <w:sz w:val="24"/>
              </w:rPr>
              <w:t>SS</w:t>
            </w:r>
            <w:r>
              <w:rPr>
                <w:rFonts w:hint="eastAsia"/>
                <w:bCs/>
                <w:sz w:val="24"/>
              </w:rPr>
              <w:t>、</w:t>
            </w:r>
            <w:r>
              <w:rPr>
                <w:bCs/>
                <w:sz w:val="24"/>
              </w:rPr>
              <w:t>BOD</w:t>
            </w:r>
            <w:r>
              <w:rPr>
                <w:bCs/>
                <w:sz w:val="24"/>
                <w:vertAlign w:val="subscript"/>
              </w:rPr>
              <w:t>5</w:t>
            </w:r>
            <w:r>
              <w:rPr>
                <w:rFonts w:hint="eastAsia"/>
                <w:bCs/>
                <w:sz w:val="24"/>
              </w:rPr>
              <w:t>、</w:t>
            </w:r>
            <w:r>
              <w:rPr>
                <w:bCs/>
                <w:sz w:val="24"/>
              </w:rPr>
              <w:t>COD</w:t>
            </w:r>
            <w:r>
              <w:rPr>
                <w:rFonts w:hint="eastAsia"/>
                <w:bCs/>
                <w:sz w:val="24"/>
              </w:rPr>
              <w:t>等污染物及有毒、有害物质和多种致病菌、病毒和寄生虫卵，它们在环境中具有一定的适应力，有的甚至在污水中存活时间较长，危害性较大。</w:t>
            </w:r>
          </w:p>
          <w:p>
            <w:pPr>
              <w:spacing w:line="360" w:lineRule="auto"/>
              <w:ind w:firstLine="480" w:firstLineChars="200"/>
              <w:contextualSpacing/>
              <w:rPr>
                <w:bCs/>
                <w:sz w:val="24"/>
              </w:rPr>
            </w:pPr>
            <w:r>
              <w:rPr>
                <w:rFonts w:hint="eastAsia"/>
                <w:bCs/>
                <w:sz w:val="24"/>
              </w:rPr>
              <w:t>一旦未经处理达标的医疗废水排入水体，将危害人体健康并对环境有长远影响。例如：某些有害物质及其化合物在鱼类及水生生物体内以及农作物组织内沉积，富集而造成危害，人通过饮用或食物链的作用，影响人体健康。</w:t>
            </w:r>
          </w:p>
          <w:p>
            <w:pPr>
              <w:spacing w:line="360" w:lineRule="auto"/>
              <w:ind w:firstLine="480" w:firstLineChars="200"/>
              <w:contextualSpacing/>
              <w:rPr>
                <w:bCs/>
                <w:sz w:val="24"/>
              </w:rPr>
            </w:pPr>
            <w:r>
              <w:rPr>
                <w:rFonts w:hint="eastAsia" w:ascii="宋体" w:hAnsi="宋体"/>
                <w:bCs/>
                <w:sz w:val="24"/>
              </w:rPr>
              <w:t>④医疗废物泄漏事故影响分析</w:t>
            </w:r>
          </w:p>
          <w:p>
            <w:pPr>
              <w:spacing w:line="360" w:lineRule="auto"/>
              <w:ind w:firstLine="480" w:firstLineChars="200"/>
              <w:contextualSpacing/>
              <w:rPr>
                <w:bCs/>
                <w:sz w:val="24"/>
              </w:rPr>
            </w:pPr>
            <w:r>
              <w:rPr>
                <w:rFonts w:hint="eastAsia"/>
                <w:bCs/>
                <w:sz w:val="24"/>
              </w:rPr>
              <w:t>医疗废物中可能存在有害病菌、病毒、化学污染物等有害物质，由于医疗废物具有空间污染、急性传染和潜伏性污染等特征，其病毒、病菌的危害性是普通生活垃圾的几十、几百甚至上千倍，且基本没有回收再利用的价值。医疗废物残留及衍生的大量病菌是十分有害有毒的物质，如果不经分类收集等有效处理的话，很容易引起各种疾病的传播和蔓延。如果项目医疗废物和生活垃圾混合，则可能会将还有血肉、病毒细菌的医疗废物经非法收集回收加工后成为人们需要的日常生活用品，将极大地危害人们身心健康，成为疫病流行的源头，影响极大。</w:t>
            </w:r>
          </w:p>
          <w:p>
            <w:pPr>
              <w:spacing w:line="360" w:lineRule="auto"/>
              <w:ind w:firstLine="480" w:firstLineChars="200"/>
              <w:contextualSpacing/>
              <w:rPr>
                <w:bCs/>
                <w:sz w:val="24"/>
              </w:rPr>
            </w:pPr>
            <w:r>
              <w:rPr>
                <w:rFonts w:hint="eastAsia"/>
                <w:bCs/>
                <w:sz w:val="24"/>
              </w:rPr>
              <w:t>本项目拟建危险废物暂存间为密闭空间，门口设标识，医疗废物包装等按照规定存放，并设有专人管理。依照《中华人民共和国固体废物污染环境防治法》的规定，执行危险废物转移联单管理制度。医疗废物暂时贮存的时间不超过</w:t>
            </w:r>
            <w:r>
              <w:rPr>
                <w:bCs/>
                <w:sz w:val="24"/>
              </w:rPr>
              <w:t>2</w:t>
            </w:r>
            <w:r>
              <w:rPr>
                <w:rFonts w:hint="eastAsia"/>
                <w:bCs/>
                <w:sz w:val="24"/>
              </w:rPr>
              <w:t>天。医疗废物暂场地地面和四周墙面采取防渗措施。由专门外运通道进行清运。本项目医疗废物最终由有资质单位进行运输处理，最终进行安全处置，不会对周边环境产生影响。</w:t>
            </w:r>
          </w:p>
          <w:p>
            <w:pPr>
              <w:spacing w:line="360" w:lineRule="auto"/>
              <w:ind w:firstLine="480" w:firstLineChars="200"/>
              <w:contextualSpacing/>
              <w:rPr>
                <w:bCs/>
                <w:sz w:val="24"/>
              </w:rPr>
            </w:pPr>
            <w:r>
              <w:rPr>
                <w:bCs/>
                <w:sz w:val="24"/>
              </w:rPr>
              <w:t>（4）环境风险防范措施</w:t>
            </w:r>
          </w:p>
          <w:p>
            <w:pPr>
              <w:spacing w:line="360" w:lineRule="auto"/>
              <w:ind w:firstLine="480" w:firstLineChars="200"/>
              <w:contextualSpacing/>
              <w:rPr>
                <w:bCs/>
                <w:sz w:val="24"/>
              </w:rPr>
            </w:pPr>
            <w:r>
              <w:rPr>
                <w:bCs/>
                <w:sz w:val="24"/>
              </w:rPr>
              <w:t>针对本项目可能产生的风险事故隐患，本项目应考虑采取一系列防范措施，为进一步减少风险事故可能产生的环境影响，建议在采取预防措施基础上加强以下风险防范和管理措施。</w:t>
            </w:r>
          </w:p>
          <w:p>
            <w:pPr>
              <w:spacing w:line="360" w:lineRule="auto"/>
              <w:ind w:firstLine="480" w:firstLineChars="200"/>
              <w:contextualSpacing/>
              <w:rPr>
                <w:bCs/>
                <w:sz w:val="24"/>
              </w:rPr>
            </w:pPr>
            <w:r>
              <w:rPr>
                <w:bCs/>
                <w:sz w:val="24"/>
              </w:rPr>
              <w:t>①严格按照相关设计规范和要求落实防护设施，制定安全和防火规章制度，加强安全意识教育，加强监督管理，消除事故隐患。</w:t>
            </w:r>
          </w:p>
          <w:p>
            <w:pPr>
              <w:spacing w:line="360" w:lineRule="auto"/>
              <w:ind w:firstLine="480" w:firstLineChars="200"/>
              <w:contextualSpacing/>
              <w:rPr>
                <w:bCs/>
                <w:sz w:val="24"/>
              </w:rPr>
            </w:pPr>
            <w:r>
              <w:rPr>
                <w:bCs/>
                <w:sz w:val="24"/>
              </w:rPr>
              <w:t>②</w:t>
            </w:r>
            <w:r>
              <w:rPr>
                <w:rFonts w:hint="eastAsia"/>
                <w:bCs/>
                <w:sz w:val="24"/>
              </w:rPr>
              <w:t>柴油发电机风险防范措施</w:t>
            </w:r>
          </w:p>
          <w:p>
            <w:pPr>
              <w:adjustRightInd w:val="0"/>
              <w:spacing w:line="360" w:lineRule="auto"/>
              <w:ind w:firstLine="480" w:firstLineChars="200"/>
              <w:contextualSpacing/>
              <w:rPr>
                <w:bCs/>
                <w:sz w:val="24"/>
              </w:rPr>
            </w:pPr>
            <w:r>
              <w:rPr>
                <w:rFonts w:hint="eastAsia"/>
                <w:bCs/>
                <w:sz w:val="24"/>
              </w:rPr>
              <w:t>本项目柴油发电机仅在停电时运行，燃料为轻柴油，油桶储存，最大储存量为1m</w:t>
            </w:r>
            <w:r>
              <w:rPr>
                <w:rFonts w:hint="eastAsia"/>
                <w:bCs/>
                <w:sz w:val="24"/>
                <w:vertAlign w:val="superscript"/>
              </w:rPr>
              <w:t>3</w:t>
            </w:r>
            <w:r>
              <w:rPr>
                <w:rFonts w:hint="eastAsia"/>
                <w:bCs/>
                <w:sz w:val="24"/>
              </w:rPr>
              <w:t>，因此其主要风险防范措施即位做好日常管理工作：</w:t>
            </w:r>
          </w:p>
          <w:p>
            <w:pPr>
              <w:adjustRightInd w:val="0"/>
              <w:spacing w:line="360" w:lineRule="auto"/>
              <w:ind w:firstLine="480" w:firstLineChars="200"/>
              <w:contextualSpacing/>
              <w:rPr>
                <w:bCs/>
                <w:sz w:val="24"/>
              </w:rPr>
            </w:pPr>
            <w:r>
              <w:rPr>
                <w:bCs/>
                <w:sz w:val="24"/>
              </w:rPr>
              <w:t>a</w:t>
            </w:r>
            <w:r>
              <w:rPr>
                <w:rFonts w:hint="eastAsia"/>
                <w:bCs/>
                <w:sz w:val="24"/>
              </w:rPr>
              <w:t>定期检查阀门和管道，防止冷凝器爆裂或阀门泄漏。</w:t>
            </w:r>
          </w:p>
          <w:p>
            <w:pPr>
              <w:adjustRightInd w:val="0"/>
              <w:spacing w:line="360" w:lineRule="auto"/>
              <w:ind w:firstLine="480" w:firstLineChars="200"/>
              <w:contextualSpacing/>
              <w:rPr>
                <w:bCs/>
                <w:sz w:val="24"/>
              </w:rPr>
            </w:pPr>
            <w:r>
              <w:rPr>
                <w:bCs/>
                <w:sz w:val="24"/>
              </w:rPr>
              <w:t>b</w:t>
            </w:r>
            <w:r>
              <w:rPr>
                <w:rFonts w:hint="eastAsia"/>
                <w:bCs/>
                <w:sz w:val="24"/>
              </w:rPr>
              <w:t>定期对阀门、管道进行维护，发现问题立即停产检修，禁止跑、冒、滴、漏。</w:t>
            </w:r>
          </w:p>
          <w:p>
            <w:pPr>
              <w:adjustRightInd w:val="0"/>
              <w:spacing w:line="360" w:lineRule="auto"/>
              <w:ind w:firstLine="480" w:firstLineChars="200"/>
              <w:contextualSpacing/>
              <w:rPr>
                <w:bCs/>
                <w:sz w:val="24"/>
              </w:rPr>
            </w:pPr>
            <w:r>
              <w:rPr>
                <w:bCs/>
                <w:sz w:val="24"/>
              </w:rPr>
              <w:t>c</w:t>
            </w:r>
            <w:r>
              <w:rPr>
                <w:rFonts w:hint="eastAsia"/>
                <w:bCs/>
                <w:sz w:val="24"/>
              </w:rPr>
              <w:t>发生泄漏后，建设单位要积极主采取果断措施，如停止供油、关闭相应的阀门，严格控制电、火源，及时报警，特别要配合消防部门，作好协助工作。</w:t>
            </w:r>
          </w:p>
          <w:p>
            <w:pPr>
              <w:adjustRightInd w:val="0"/>
              <w:spacing w:line="360" w:lineRule="auto"/>
              <w:ind w:firstLine="480" w:firstLineChars="200"/>
              <w:contextualSpacing/>
              <w:rPr>
                <w:bCs/>
                <w:sz w:val="24"/>
              </w:rPr>
            </w:pPr>
            <w:r>
              <w:rPr>
                <w:bCs/>
                <w:sz w:val="24"/>
              </w:rPr>
              <w:t>d</w:t>
            </w:r>
            <w:r>
              <w:rPr>
                <w:rFonts w:hint="eastAsia"/>
                <w:bCs/>
                <w:sz w:val="24"/>
              </w:rPr>
              <w:t>制定岗位责任制，杜绝污染事故的发生。</w:t>
            </w:r>
          </w:p>
          <w:p>
            <w:pPr>
              <w:spacing w:line="360" w:lineRule="auto"/>
              <w:ind w:firstLine="480" w:firstLineChars="200"/>
              <w:contextualSpacing/>
              <w:rPr>
                <w:bCs/>
                <w:sz w:val="24"/>
              </w:rPr>
            </w:pPr>
            <w:r>
              <w:rPr>
                <w:bCs/>
                <w:sz w:val="24"/>
              </w:rPr>
              <w:t>② 药品贮存间</w:t>
            </w:r>
          </w:p>
          <w:p>
            <w:pPr>
              <w:spacing w:line="360" w:lineRule="auto"/>
              <w:ind w:firstLine="480" w:firstLineChars="200"/>
              <w:contextualSpacing/>
              <w:rPr>
                <w:bCs/>
                <w:sz w:val="24"/>
              </w:rPr>
            </w:pPr>
            <w:r>
              <w:rPr>
                <w:bCs/>
                <w:sz w:val="24"/>
              </w:rPr>
              <w:t>配备有专业知识的技术人员，管理人员必须配备可靠的个人安全防护用品；药品入库时，应严格检验物品质量、数量、包装情况、有无泄漏。</w:t>
            </w:r>
          </w:p>
          <w:p>
            <w:pPr>
              <w:spacing w:line="360" w:lineRule="auto"/>
              <w:ind w:firstLine="480" w:firstLineChars="200"/>
              <w:contextualSpacing/>
              <w:rPr>
                <w:bCs/>
                <w:sz w:val="24"/>
              </w:rPr>
            </w:pPr>
            <w:r>
              <w:rPr>
                <w:bCs/>
                <w:sz w:val="24"/>
              </w:rPr>
              <w:t xml:space="preserve">③ </w:t>
            </w:r>
            <w:r>
              <w:rPr>
                <w:rFonts w:hint="eastAsia"/>
                <w:bCs/>
                <w:sz w:val="24"/>
              </w:rPr>
              <w:t>医疗废水非正常排放或事故泄漏</w:t>
            </w:r>
          </w:p>
          <w:p>
            <w:pPr>
              <w:spacing w:line="360" w:lineRule="auto"/>
              <w:ind w:firstLine="480" w:firstLineChars="200"/>
              <w:contextualSpacing/>
              <w:rPr>
                <w:bCs/>
                <w:sz w:val="24"/>
              </w:rPr>
            </w:pPr>
            <w:r>
              <w:rPr>
                <w:rFonts w:hint="eastAsia"/>
                <w:bCs/>
                <w:sz w:val="24"/>
              </w:rPr>
              <w:t>医疗废水发生非正常排放的情况主要为：由于管理不当，废水处理装置处理效率下降；或处理系统发生故障时，废水未经处理直接排放。本项目医疗废水产生量小，不会对第四再生水厂造成冲击影响。此外，本项目废水非正常排放为废水未经预处理直接排放到市政污水管网，医疗废水中含有致病菌，这些致病菌可能会在污水管网滋生，并通过鼠、蝇、蚊等传播，对人类健康造成威胁；因此项目应设置应急事故池/水箱，用来收集应急情况下项目产生的废水。若本项目处理装置、管道破裂发生事故泄漏，也可先收集至事故池中，后进入废水处理装置处理。废水处理装置应设专人管理，定期巡检以防非正常排放及泄漏事故发生。</w:t>
            </w:r>
          </w:p>
          <w:p>
            <w:pPr>
              <w:spacing w:line="360" w:lineRule="auto"/>
              <w:ind w:firstLine="480" w:firstLineChars="200"/>
              <w:contextualSpacing/>
              <w:rPr>
                <w:bCs/>
                <w:sz w:val="24"/>
              </w:rPr>
            </w:pPr>
            <w:r>
              <w:rPr>
                <w:rFonts w:hint="eastAsia"/>
                <w:bCs/>
                <w:sz w:val="24"/>
              </w:rPr>
              <w:t xml:space="preserve">④ </w:t>
            </w:r>
            <w:r>
              <w:rPr>
                <w:bCs/>
                <w:sz w:val="24"/>
              </w:rPr>
              <w:t>医疗废物暂存间管理及防范措施</w:t>
            </w:r>
          </w:p>
          <w:p>
            <w:pPr>
              <w:spacing w:line="360" w:lineRule="auto"/>
              <w:ind w:firstLine="480" w:firstLineChars="200"/>
              <w:contextualSpacing/>
              <w:rPr>
                <w:bCs/>
                <w:sz w:val="24"/>
              </w:rPr>
            </w:pPr>
            <w:r>
              <w:rPr>
                <w:bCs/>
                <w:sz w:val="24"/>
              </w:rPr>
              <w:t xml:space="preserve">设置负责医疗废物管理的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 </w:t>
            </w:r>
          </w:p>
          <w:p>
            <w:pPr>
              <w:spacing w:line="360" w:lineRule="auto"/>
              <w:ind w:firstLine="480" w:firstLineChars="200"/>
              <w:contextualSpacing/>
              <w:rPr>
                <w:bCs/>
                <w:sz w:val="24"/>
              </w:rPr>
            </w:pPr>
            <w:r>
              <w:rPr>
                <w:bCs/>
                <w:sz w:val="24"/>
              </w:rPr>
              <w:t>如发生医疗废物流失、泄漏、扩散和意外事故时</w:t>
            </w:r>
            <w:r>
              <w:rPr>
                <w:rFonts w:hint="eastAsia"/>
                <w:bCs/>
                <w:sz w:val="24"/>
              </w:rPr>
              <w:t>，</w:t>
            </w:r>
            <w:r>
              <w:rPr>
                <w:bCs/>
                <w:sz w:val="24"/>
              </w:rPr>
              <w:t>根据中华人民共和国卫生部 48号令《医院感染管理办法》医院感染管理部门的职责中对医疗污物管理工作提供指导的要求及时采取紧急处理措施。</w:t>
            </w:r>
          </w:p>
          <w:p>
            <w:pPr>
              <w:pStyle w:val="43"/>
              <w:spacing w:after="0" w:line="360" w:lineRule="auto"/>
              <w:ind w:left="0" w:leftChars="0" w:firstLine="480"/>
              <w:rPr>
                <w:bCs/>
                <w:sz w:val="24"/>
              </w:rPr>
            </w:pPr>
            <w:r>
              <w:rPr>
                <w:bCs/>
                <w:sz w:val="24"/>
              </w:rPr>
              <w:t>本项目在落实以上风险防范措施的基础上加强管理，可有效预防环境风险事故的发生。综上，本项目环境风险对敏感点影响较小。</w:t>
            </w:r>
            <w:bookmarkStart w:id="24" w:name="_Toc145312228"/>
          </w:p>
          <w:bookmarkEnd w:id="24"/>
          <w:p>
            <w:pPr>
              <w:spacing w:line="360" w:lineRule="auto"/>
              <w:ind w:firstLine="442" w:firstLineChars="200"/>
              <w:contextualSpacing/>
              <w:rPr>
                <w:b/>
                <w:bCs/>
                <w:spacing w:val="-10"/>
                <w:sz w:val="24"/>
              </w:rPr>
            </w:pPr>
            <w:r>
              <w:rPr>
                <w:rFonts w:hint="eastAsia"/>
                <w:b/>
                <w:bCs/>
                <w:spacing w:val="-10"/>
                <w:sz w:val="24"/>
              </w:rPr>
              <w:t>8</w:t>
            </w:r>
            <w:r>
              <w:rPr>
                <w:b/>
                <w:bCs/>
                <w:spacing w:val="-10"/>
                <w:sz w:val="24"/>
              </w:rPr>
              <w:t>、</w:t>
            </w:r>
            <w:r>
              <w:rPr>
                <w:rFonts w:hint="eastAsia"/>
                <w:b/>
                <w:bCs/>
                <w:spacing w:val="-10"/>
                <w:sz w:val="24"/>
              </w:rPr>
              <w:t>环保投资</w:t>
            </w:r>
          </w:p>
          <w:p>
            <w:pPr>
              <w:pStyle w:val="43"/>
              <w:spacing w:after="0" w:line="360" w:lineRule="auto"/>
              <w:ind w:left="0" w:leftChars="0" w:firstLine="480"/>
              <w:rPr>
                <w:bCs/>
                <w:sz w:val="24"/>
              </w:rPr>
            </w:pPr>
            <w:r>
              <w:rPr>
                <w:bCs/>
                <w:sz w:val="24"/>
              </w:rPr>
              <w:t>本项目总投资</w:t>
            </w:r>
            <w:r>
              <w:rPr>
                <w:rFonts w:hint="eastAsia"/>
                <w:bCs/>
                <w:sz w:val="24"/>
              </w:rPr>
              <w:t>4957.36</w:t>
            </w:r>
            <w:r>
              <w:rPr>
                <w:bCs/>
                <w:sz w:val="24"/>
              </w:rPr>
              <w:t>万元，其中环保投入86.2万元，占总投资的1.74%。环保投入估算见表</w:t>
            </w:r>
            <w:r>
              <w:rPr>
                <w:rFonts w:hint="eastAsia"/>
                <w:bCs/>
                <w:sz w:val="24"/>
              </w:rPr>
              <w:t>4-12</w:t>
            </w:r>
            <w:r>
              <w:rPr>
                <w:bCs/>
                <w:sz w:val="24"/>
              </w:rPr>
              <w:t>。</w:t>
            </w:r>
          </w:p>
          <w:p>
            <w:pPr>
              <w:ind w:firstLine="482" w:firstLineChars="200"/>
              <w:jc w:val="center"/>
              <w:rPr>
                <w:b/>
                <w:bCs/>
                <w:sz w:val="24"/>
              </w:rPr>
            </w:pPr>
            <w:r>
              <w:rPr>
                <w:b/>
                <w:bCs/>
                <w:sz w:val="24"/>
              </w:rPr>
              <w:t>表</w:t>
            </w:r>
            <w:r>
              <w:rPr>
                <w:rFonts w:hint="eastAsia"/>
                <w:b/>
                <w:bCs/>
                <w:sz w:val="24"/>
              </w:rPr>
              <w:t>4-12</w:t>
            </w:r>
            <w:r>
              <w:rPr>
                <w:b/>
                <w:bCs/>
                <w:sz w:val="24"/>
              </w:rPr>
              <w:t xml:space="preserve">   </w:t>
            </w:r>
            <w:r>
              <w:rPr>
                <w:rFonts w:hint="eastAsia"/>
                <w:b/>
                <w:bCs/>
                <w:sz w:val="24"/>
              </w:rPr>
              <w:t xml:space="preserve"> </w:t>
            </w:r>
            <w:r>
              <w:rPr>
                <w:b/>
                <w:bCs/>
                <w:sz w:val="24"/>
              </w:rPr>
              <w:t>项目</w:t>
            </w:r>
            <w:r>
              <w:rPr>
                <w:rFonts w:hint="eastAsia"/>
                <w:b/>
                <w:bCs/>
                <w:sz w:val="24"/>
              </w:rPr>
              <w:t>环保投资估算</w:t>
            </w:r>
            <w:r>
              <w:rPr>
                <w:b/>
                <w:bCs/>
                <w:sz w:val="24"/>
              </w:rPr>
              <w:t>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2"/>
              <w:gridCol w:w="850"/>
              <w:gridCol w:w="1602"/>
              <w:gridCol w:w="380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tcMar>
                    <w:left w:w="0" w:type="dxa"/>
                    <w:right w:w="0" w:type="dxa"/>
                  </w:tcMar>
                  <w:vAlign w:val="center"/>
                </w:tcPr>
                <w:p>
                  <w:pPr>
                    <w:pStyle w:val="66"/>
                    <w:spacing w:before="0" w:after="0"/>
                    <w:ind w:right="0"/>
                  </w:pPr>
                  <w:r>
                    <w:t>时段</w:t>
                  </w:r>
                </w:p>
              </w:tc>
              <w:tc>
                <w:tcPr>
                  <w:tcW w:w="2452" w:type="dxa"/>
                  <w:gridSpan w:val="2"/>
                  <w:tcMar>
                    <w:left w:w="0" w:type="dxa"/>
                    <w:right w:w="0" w:type="dxa"/>
                  </w:tcMar>
                  <w:vAlign w:val="center"/>
                </w:tcPr>
                <w:p>
                  <w:pPr>
                    <w:pStyle w:val="66"/>
                    <w:spacing w:before="0" w:after="0"/>
                    <w:ind w:right="0"/>
                  </w:pPr>
                  <w:r>
                    <w:t>治理项目</w:t>
                  </w:r>
                </w:p>
              </w:tc>
              <w:tc>
                <w:tcPr>
                  <w:tcW w:w="3807" w:type="dxa"/>
                  <w:tcMar>
                    <w:left w:w="0" w:type="dxa"/>
                    <w:right w:w="0" w:type="dxa"/>
                  </w:tcMar>
                  <w:vAlign w:val="center"/>
                </w:tcPr>
                <w:p>
                  <w:pPr>
                    <w:pStyle w:val="66"/>
                    <w:spacing w:before="0" w:after="0"/>
                    <w:ind w:right="0"/>
                  </w:pPr>
                  <w:r>
                    <w:t>污染防治设施或措施</w:t>
                  </w:r>
                </w:p>
              </w:tc>
              <w:tc>
                <w:tcPr>
                  <w:tcW w:w="1548" w:type="dxa"/>
                  <w:tcMar>
                    <w:left w:w="0" w:type="dxa"/>
                    <w:right w:w="0" w:type="dxa"/>
                  </w:tcMar>
                  <w:vAlign w:val="center"/>
                </w:tcPr>
                <w:p>
                  <w:pPr>
                    <w:pStyle w:val="66"/>
                    <w:spacing w:before="0" w:after="0"/>
                    <w:ind w:right="0"/>
                  </w:pPr>
                  <w: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restart"/>
                  <w:tcMar>
                    <w:left w:w="0" w:type="dxa"/>
                    <w:right w:w="0" w:type="dxa"/>
                  </w:tcMar>
                  <w:vAlign w:val="center"/>
                </w:tcPr>
                <w:p>
                  <w:pPr>
                    <w:pStyle w:val="66"/>
                    <w:spacing w:before="0" w:after="0"/>
                    <w:ind w:right="0"/>
                    <w:rPr>
                      <w:b w:val="0"/>
                      <w:bCs/>
                    </w:rPr>
                  </w:pPr>
                  <w:r>
                    <w:rPr>
                      <w:b w:val="0"/>
                      <w:bCs/>
                    </w:rPr>
                    <w:t>施工期</w:t>
                  </w:r>
                </w:p>
              </w:tc>
              <w:tc>
                <w:tcPr>
                  <w:tcW w:w="850" w:type="dxa"/>
                  <w:tcMar>
                    <w:left w:w="0" w:type="dxa"/>
                    <w:right w:w="0" w:type="dxa"/>
                  </w:tcMar>
                  <w:vAlign w:val="center"/>
                </w:tcPr>
                <w:p>
                  <w:pPr>
                    <w:adjustRightInd w:val="0"/>
                    <w:snapToGrid w:val="0"/>
                    <w:jc w:val="center"/>
                    <w:rPr>
                      <w:szCs w:val="21"/>
                    </w:rPr>
                  </w:pPr>
                  <w:r>
                    <w:rPr>
                      <w:szCs w:val="21"/>
                    </w:rPr>
                    <w:t>废气</w:t>
                  </w:r>
                </w:p>
              </w:tc>
              <w:tc>
                <w:tcPr>
                  <w:tcW w:w="1602" w:type="dxa"/>
                  <w:tcMar>
                    <w:left w:w="0" w:type="dxa"/>
                    <w:right w:w="0" w:type="dxa"/>
                  </w:tcMar>
                  <w:vAlign w:val="center"/>
                </w:tcPr>
                <w:p>
                  <w:pPr>
                    <w:adjustRightInd w:val="0"/>
                    <w:snapToGrid w:val="0"/>
                    <w:jc w:val="center"/>
                    <w:rPr>
                      <w:szCs w:val="21"/>
                    </w:rPr>
                  </w:pPr>
                  <w:r>
                    <w:rPr>
                      <w:szCs w:val="21"/>
                    </w:rPr>
                    <w:t>施工扬尘</w:t>
                  </w:r>
                </w:p>
              </w:tc>
              <w:tc>
                <w:tcPr>
                  <w:tcW w:w="3807" w:type="dxa"/>
                  <w:tcMar>
                    <w:left w:w="0" w:type="dxa"/>
                    <w:right w:w="0" w:type="dxa"/>
                  </w:tcMar>
                  <w:vAlign w:val="center"/>
                </w:tcPr>
                <w:p>
                  <w:pPr>
                    <w:adjustRightInd w:val="0"/>
                    <w:snapToGrid w:val="0"/>
                    <w:jc w:val="center"/>
                    <w:rPr>
                      <w:szCs w:val="21"/>
                    </w:rPr>
                  </w:pPr>
                  <w:r>
                    <w:rPr>
                      <w:szCs w:val="21"/>
                    </w:rPr>
                    <w:t>设置施工围栏、苫布、抑尘网、喷淋抑尘等</w:t>
                  </w:r>
                </w:p>
              </w:tc>
              <w:tc>
                <w:tcPr>
                  <w:tcW w:w="1548" w:type="dxa"/>
                  <w:tcMar>
                    <w:left w:w="0" w:type="dxa"/>
                    <w:right w:w="0" w:type="dxa"/>
                  </w:tcMar>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tcMar>
                    <w:left w:w="0" w:type="dxa"/>
                    <w:right w:w="0" w:type="dxa"/>
                  </w:tcMar>
                  <w:vAlign w:val="center"/>
                </w:tcPr>
                <w:p>
                  <w:pPr>
                    <w:adjustRightInd w:val="0"/>
                    <w:snapToGrid w:val="0"/>
                    <w:jc w:val="center"/>
                    <w:rPr>
                      <w:szCs w:val="21"/>
                    </w:rPr>
                  </w:pPr>
                  <w:r>
                    <w:rPr>
                      <w:szCs w:val="21"/>
                    </w:rPr>
                    <w:t>废水</w:t>
                  </w:r>
                </w:p>
              </w:tc>
              <w:tc>
                <w:tcPr>
                  <w:tcW w:w="1602" w:type="dxa"/>
                  <w:tcMar>
                    <w:left w:w="0" w:type="dxa"/>
                    <w:right w:w="0" w:type="dxa"/>
                  </w:tcMar>
                  <w:vAlign w:val="center"/>
                </w:tcPr>
                <w:p>
                  <w:pPr>
                    <w:adjustRightInd w:val="0"/>
                    <w:snapToGrid w:val="0"/>
                    <w:jc w:val="center"/>
                    <w:rPr>
                      <w:szCs w:val="21"/>
                    </w:rPr>
                  </w:pPr>
                  <w:r>
                    <w:rPr>
                      <w:szCs w:val="21"/>
                    </w:rPr>
                    <w:t>施工废水</w:t>
                  </w:r>
                </w:p>
              </w:tc>
              <w:tc>
                <w:tcPr>
                  <w:tcW w:w="3807" w:type="dxa"/>
                  <w:tcMar>
                    <w:left w:w="0" w:type="dxa"/>
                    <w:right w:w="0" w:type="dxa"/>
                  </w:tcMar>
                  <w:vAlign w:val="center"/>
                </w:tcPr>
                <w:p>
                  <w:pPr>
                    <w:adjustRightInd w:val="0"/>
                    <w:snapToGrid w:val="0"/>
                    <w:jc w:val="center"/>
                    <w:rPr>
                      <w:szCs w:val="21"/>
                    </w:rPr>
                  </w:pPr>
                  <w:r>
                    <w:rPr>
                      <w:szCs w:val="21"/>
                    </w:rPr>
                    <w:t>设置沉淀池</w:t>
                  </w:r>
                </w:p>
              </w:tc>
              <w:tc>
                <w:tcPr>
                  <w:tcW w:w="1548" w:type="dxa"/>
                  <w:tcMar>
                    <w:left w:w="0" w:type="dxa"/>
                    <w:right w:w="0" w:type="dxa"/>
                  </w:tcMar>
                  <w:vAlign w:val="center"/>
                </w:tcPr>
                <w:p>
                  <w:pPr>
                    <w:adjustRightInd w:val="0"/>
                    <w:snapToGrid w:val="0"/>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tcMar>
                    <w:left w:w="0" w:type="dxa"/>
                    <w:right w:w="0" w:type="dxa"/>
                  </w:tcMar>
                  <w:vAlign w:val="center"/>
                </w:tcPr>
                <w:p>
                  <w:pPr>
                    <w:adjustRightInd w:val="0"/>
                    <w:snapToGrid w:val="0"/>
                    <w:jc w:val="center"/>
                    <w:rPr>
                      <w:szCs w:val="21"/>
                    </w:rPr>
                  </w:pPr>
                  <w:r>
                    <w:rPr>
                      <w:szCs w:val="21"/>
                    </w:rPr>
                    <w:t>固体废物</w:t>
                  </w:r>
                </w:p>
              </w:tc>
              <w:tc>
                <w:tcPr>
                  <w:tcW w:w="1602" w:type="dxa"/>
                  <w:tcMar>
                    <w:left w:w="0" w:type="dxa"/>
                    <w:right w:w="0" w:type="dxa"/>
                  </w:tcMar>
                  <w:vAlign w:val="center"/>
                </w:tcPr>
                <w:p>
                  <w:pPr>
                    <w:adjustRightInd w:val="0"/>
                    <w:snapToGrid w:val="0"/>
                    <w:jc w:val="center"/>
                    <w:rPr>
                      <w:szCs w:val="21"/>
                    </w:rPr>
                  </w:pPr>
                  <w:r>
                    <w:rPr>
                      <w:szCs w:val="21"/>
                    </w:rPr>
                    <w:t>生活垃圾、一般固废</w:t>
                  </w:r>
                </w:p>
              </w:tc>
              <w:tc>
                <w:tcPr>
                  <w:tcW w:w="3807" w:type="dxa"/>
                  <w:tcMar>
                    <w:left w:w="0" w:type="dxa"/>
                    <w:right w:w="0" w:type="dxa"/>
                  </w:tcMar>
                  <w:vAlign w:val="center"/>
                </w:tcPr>
                <w:p>
                  <w:pPr>
                    <w:adjustRightInd w:val="0"/>
                    <w:snapToGrid w:val="0"/>
                    <w:jc w:val="center"/>
                    <w:rPr>
                      <w:szCs w:val="21"/>
                    </w:rPr>
                  </w:pPr>
                  <w:r>
                    <w:rPr>
                      <w:szCs w:val="21"/>
                    </w:rPr>
                    <w:t>设置垃圾桶及收集容器</w:t>
                  </w:r>
                </w:p>
              </w:tc>
              <w:tc>
                <w:tcPr>
                  <w:tcW w:w="1548" w:type="dxa"/>
                  <w:tcMar>
                    <w:left w:w="0" w:type="dxa"/>
                    <w:right w:w="0" w:type="dxa"/>
                  </w:tcMar>
                  <w:vAlign w:val="center"/>
                </w:tcPr>
                <w:p>
                  <w:pPr>
                    <w:adjustRightInd w:val="0"/>
                    <w:snapToGrid w:val="0"/>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restart"/>
                  <w:tcMar>
                    <w:left w:w="0" w:type="dxa"/>
                    <w:right w:w="0" w:type="dxa"/>
                  </w:tcMar>
                  <w:vAlign w:val="center"/>
                </w:tcPr>
                <w:p>
                  <w:pPr>
                    <w:pStyle w:val="66"/>
                    <w:spacing w:before="0" w:after="0"/>
                    <w:ind w:right="0"/>
                    <w:rPr>
                      <w:b w:val="0"/>
                      <w:bCs/>
                    </w:rPr>
                  </w:pPr>
                  <w:r>
                    <w:rPr>
                      <w:b w:val="0"/>
                      <w:bCs/>
                    </w:rPr>
                    <w:t>运行期</w:t>
                  </w:r>
                </w:p>
              </w:tc>
              <w:tc>
                <w:tcPr>
                  <w:tcW w:w="850" w:type="dxa"/>
                  <w:vMerge w:val="restart"/>
                  <w:tcMar>
                    <w:left w:w="0" w:type="dxa"/>
                    <w:right w:w="0" w:type="dxa"/>
                  </w:tcMar>
                  <w:vAlign w:val="center"/>
                </w:tcPr>
                <w:p>
                  <w:pPr>
                    <w:pStyle w:val="66"/>
                    <w:spacing w:before="0" w:after="0"/>
                    <w:ind w:right="0"/>
                    <w:rPr>
                      <w:b w:val="0"/>
                      <w:bCs/>
                    </w:rPr>
                  </w:pPr>
                  <w:r>
                    <w:rPr>
                      <w:b w:val="0"/>
                      <w:bCs/>
                    </w:rPr>
                    <w:t>废气</w:t>
                  </w:r>
                </w:p>
              </w:tc>
              <w:tc>
                <w:tcPr>
                  <w:tcW w:w="1602" w:type="dxa"/>
                  <w:vMerge w:val="restart"/>
                  <w:tcMar>
                    <w:left w:w="0" w:type="dxa"/>
                    <w:right w:w="0" w:type="dxa"/>
                  </w:tcMar>
                  <w:vAlign w:val="center"/>
                </w:tcPr>
                <w:p>
                  <w:pPr>
                    <w:pStyle w:val="66"/>
                    <w:spacing w:before="0" w:after="0"/>
                    <w:ind w:right="0"/>
                    <w:rPr>
                      <w:b w:val="0"/>
                      <w:bCs/>
                    </w:rPr>
                  </w:pPr>
                  <w:r>
                    <w:rPr>
                      <w:b w:val="0"/>
                      <w:bCs/>
                    </w:rPr>
                    <w:t>污水处理站废气</w:t>
                  </w:r>
                </w:p>
              </w:tc>
              <w:tc>
                <w:tcPr>
                  <w:tcW w:w="3807" w:type="dxa"/>
                  <w:tcMar>
                    <w:left w:w="0" w:type="dxa"/>
                    <w:right w:w="0" w:type="dxa"/>
                  </w:tcMar>
                  <w:vAlign w:val="center"/>
                </w:tcPr>
                <w:p>
                  <w:pPr>
                    <w:pStyle w:val="66"/>
                    <w:spacing w:before="0" w:after="0"/>
                    <w:ind w:right="0"/>
                    <w:rPr>
                      <w:b w:val="0"/>
                      <w:bCs/>
                    </w:rPr>
                  </w:pPr>
                  <w:r>
                    <w:rPr>
                      <w:b w:val="0"/>
                      <w:bCs/>
                    </w:rPr>
                    <w:t xml:space="preserve">设施密封，定期喷洒除臭剂 </w:t>
                  </w:r>
                </w:p>
              </w:tc>
              <w:tc>
                <w:tcPr>
                  <w:tcW w:w="1548" w:type="dxa"/>
                  <w:tcMar>
                    <w:left w:w="0" w:type="dxa"/>
                    <w:right w:w="0" w:type="dxa"/>
                  </w:tcMar>
                  <w:vAlign w:val="center"/>
                </w:tcPr>
                <w:p>
                  <w:pPr>
                    <w:pStyle w:val="66"/>
                    <w:spacing w:before="0" w:after="0"/>
                    <w:ind w:right="0"/>
                    <w:rPr>
                      <w:b w:val="0"/>
                      <w:bCs/>
                    </w:rPr>
                  </w:pPr>
                  <w:r>
                    <w:rPr>
                      <w:b w:val="0"/>
                      <w:bCs/>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vMerge w:val="continue"/>
                  <w:tcMar>
                    <w:left w:w="0" w:type="dxa"/>
                    <w:right w:w="0" w:type="dxa"/>
                  </w:tcMar>
                  <w:vAlign w:val="center"/>
                </w:tcPr>
                <w:p>
                  <w:pPr>
                    <w:pStyle w:val="66"/>
                    <w:spacing w:before="0" w:after="0"/>
                    <w:ind w:right="0"/>
                    <w:rPr>
                      <w:b w:val="0"/>
                      <w:bCs/>
                    </w:rPr>
                  </w:pPr>
                </w:p>
              </w:tc>
              <w:tc>
                <w:tcPr>
                  <w:tcW w:w="3807" w:type="dxa"/>
                  <w:tcMar>
                    <w:left w:w="0" w:type="dxa"/>
                    <w:right w:w="0" w:type="dxa"/>
                  </w:tcMar>
                  <w:vAlign w:val="center"/>
                </w:tcPr>
                <w:p>
                  <w:pPr>
                    <w:pStyle w:val="66"/>
                    <w:spacing w:before="0" w:after="0"/>
                    <w:ind w:right="0"/>
                    <w:rPr>
                      <w:b w:val="0"/>
                      <w:bCs/>
                    </w:rPr>
                  </w:pPr>
                  <w:r>
                    <w:rPr>
                      <w:b w:val="0"/>
                      <w:bCs/>
                    </w:rPr>
                    <w:t>活性炭吸附装置+15m高排气筒</w:t>
                  </w:r>
                </w:p>
              </w:tc>
              <w:tc>
                <w:tcPr>
                  <w:tcW w:w="1548" w:type="dxa"/>
                  <w:tcMar>
                    <w:left w:w="0" w:type="dxa"/>
                    <w:right w:w="0" w:type="dxa"/>
                  </w:tcMar>
                  <w:vAlign w:val="center"/>
                </w:tcPr>
                <w:p>
                  <w:pPr>
                    <w:pStyle w:val="66"/>
                    <w:spacing w:before="0" w:after="0"/>
                    <w:ind w:right="0"/>
                    <w:rPr>
                      <w:b w:val="0"/>
                      <w:bCs/>
                    </w:rPr>
                  </w:pPr>
                  <w:r>
                    <w:rPr>
                      <w:b w:val="0"/>
                      <w:bC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锅炉废气</w:t>
                  </w:r>
                </w:p>
              </w:tc>
              <w:tc>
                <w:tcPr>
                  <w:tcW w:w="3807" w:type="dxa"/>
                  <w:tcMar>
                    <w:left w:w="0" w:type="dxa"/>
                    <w:right w:w="0" w:type="dxa"/>
                  </w:tcMar>
                  <w:vAlign w:val="center"/>
                </w:tcPr>
                <w:p>
                  <w:pPr>
                    <w:pStyle w:val="66"/>
                    <w:spacing w:before="0" w:after="0"/>
                    <w:ind w:right="0"/>
                    <w:rPr>
                      <w:b w:val="0"/>
                      <w:bCs/>
                    </w:rPr>
                  </w:pPr>
                  <w:r>
                    <w:rPr>
                      <w:b w:val="0"/>
                      <w:bCs/>
                    </w:rPr>
                    <w:t>低氮燃烧器+28.7m排气筒</w:t>
                  </w:r>
                </w:p>
              </w:tc>
              <w:tc>
                <w:tcPr>
                  <w:tcW w:w="1548" w:type="dxa"/>
                  <w:tcMar>
                    <w:left w:w="0" w:type="dxa"/>
                    <w:right w:w="0" w:type="dxa"/>
                  </w:tcMar>
                  <w:vAlign w:val="center"/>
                </w:tcPr>
                <w:p>
                  <w:pPr>
                    <w:pStyle w:val="66"/>
                    <w:spacing w:before="0" w:after="0"/>
                    <w:ind w:right="0"/>
                    <w:rPr>
                      <w:b w:val="0"/>
                      <w:bCs/>
                    </w:rPr>
                  </w:pPr>
                  <w:r>
                    <w:rPr>
                      <w:b w:val="0"/>
                      <w:bCs/>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食堂油烟</w:t>
                  </w:r>
                </w:p>
              </w:tc>
              <w:tc>
                <w:tcPr>
                  <w:tcW w:w="3807" w:type="dxa"/>
                  <w:tcMar>
                    <w:left w:w="0" w:type="dxa"/>
                    <w:right w:w="0" w:type="dxa"/>
                  </w:tcMar>
                  <w:vAlign w:val="center"/>
                </w:tcPr>
                <w:p>
                  <w:pPr>
                    <w:pStyle w:val="66"/>
                    <w:spacing w:before="0" w:after="0"/>
                    <w:ind w:right="0"/>
                    <w:rPr>
                      <w:b w:val="0"/>
                      <w:bCs/>
                    </w:rPr>
                  </w:pPr>
                  <w:r>
                    <w:rPr>
                      <w:b w:val="0"/>
                      <w:bCs/>
                    </w:rPr>
                    <w:t>油烟净化器</w:t>
                  </w:r>
                </w:p>
              </w:tc>
              <w:tc>
                <w:tcPr>
                  <w:tcW w:w="1548" w:type="dxa"/>
                  <w:tcMar>
                    <w:left w:w="0" w:type="dxa"/>
                    <w:right w:w="0" w:type="dxa"/>
                  </w:tcMar>
                  <w:vAlign w:val="center"/>
                </w:tcPr>
                <w:p>
                  <w:pPr>
                    <w:pStyle w:val="66"/>
                    <w:spacing w:before="0" w:after="0"/>
                    <w:ind w:right="0"/>
                    <w:rPr>
                      <w:b w:val="0"/>
                      <w:bCs/>
                    </w:rPr>
                  </w:pPr>
                  <w:r>
                    <w:rPr>
                      <w:b w:val="0"/>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tcMar>
                    <w:left w:w="0" w:type="dxa"/>
                    <w:right w:w="0" w:type="dxa"/>
                  </w:tcMar>
                  <w:vAlign w:val="center"/>
                </w:tcPr>
                <w:p>
                  <w:pPr>
                    <w:jc w:val="center"/>
                    <w:rPr>
                      <w:szCs w:val="21"/>
                    </w:rPr>
                  </w:pPr>
                  <w:r>
                    <w:rPr>
                      <w:szCs w:val="21"/>
                    </w:rPr>
                    <w:t>噪声</w:t>
                  </w:r>
                </w:p>
              </w:tc>
              <w:tc>
                <w:tcPr>
                  <w:tcW w:w="1602" w:type="dxa"/>
                  <w:tcMar>
                    <w:left w:w="0" w:type="dxa"/>
                    <w:right w:w="0" w:type="dxa"/>
                  </w:tcMar>
                  <w:vAlign w:val="center"/>
                </w:tcPr>
                <w:p>
                  <w:pPr>
                    <w:jc w:val="center"/>
                    <w:rPr>
                      <w:szCs w:val="21"/>
                    </w:rPr>
                  </w:pPr>
                  <w:r>
                    <w:rPr>
                      <w:szCs w:val="21"/>
                    </w:rPr>
                    <w:t>运行设备</w:t>
                  </w:r>
                </w:p>
              </w:tc>
              <w:tc>
                <w:tcPr>
                  <w:tcW w:w="3807" w:type="dxa"/>
                  <w:tcMar>
                    <w:left w:w="0" w:type="dxa"/>
                    <w:right w:w="0" w:type="dxa"/>
                  </w:tcMar>
                  <w:vAlign w:val="center"/>
                </w:tcPr>
                <w:p>
                  <w:pPr>
                    <w:jc w:val="center"/>
                    <w:rPr>
                      <w:szCs w:val="21"/>
                    </w:rPr>
                  </w:pPr>
                  <w:r>
                    <w:rPr>
                      <w:szCs w:val="21"/>
                    </w:rPr>
                    <w:t>基础减振、隔声等措施</w:t>
                  </w:r>
                </w:p>
              </w:tc>
              <w:tc>
                <w:tcPr>
                  <w:tcW w:w="1548" w:type="dxa"/>
                  <w:tcMar>
                    <w:left w:w="0" w:type="dxa"/>
                    <w:right w:w="0" w:type="dxa"/>
                  </w:tcMar>
                  <w:vAlign w:val="center"/>
                </w:tcPr>
                <w:p>
                  <w:pPr>
                    <w:jc w:val="center"/>
                    <w:rPr>
                      <w:szCs w:val="21"/>
                    </w:rPr>
                  </w:pPr>
                  <w:r>
                    <w:rPr>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restart"/>
                  <w:tcMar>
                    <w:left w:w="0" w:type="dxa"/>
                    <w:right w:w="0" w:type="dxa"/>
                  </w:tcMar>
                  <w:vAlign w:val="center"/>
                </w:tcPr>
                <w:p>
                  <w:pPr>
                    <w:pStyle w:val="66"/>
                    <w:adjustRightInd/>
                    <w:snapToGrid/>
                    <w:spacing w:before="0" w:after="0"/>
                    <w:ind w:right="0"/>
                    <w:rPr>
                      <w:b w:val="0"/>
                      <w:bCs/>
                    </w:rPr>
                  </w:pPr>
                  <w:r>
                    <w:rPr>
                      <w:b w:val="0"/>
                      <w:bCs/>
                    </w:rPr>
                    <w:t>废水</w:t>
                  </w:r>
                </w:p>
              </w:tc>
              <w:tc>
                <w:tcPr>
                  <w:tcW w:w="1602" w:type="dxa"/>
                  <w:vMerge w:val="restart"/>
                  <w:tcMar>
                    <w:left w:w="0" w:type="dxa"/>
                    <w:right w:w="0" w:type="dxa"/>
                  </w:tcMar>
                  <w:vAlign w:val="center"/>
                </w:tcPr>
                <w:p>
                  <w:pPr>
                    <w:pStyle w:val="66"/>
                    <w:adjustRightInd/>
                    <w:snapToGrid/>
                    <w:spacing w:before="0" w:after="0"/>
                    <w:ind w:right="0"/>
                    <w:rPr>
                      <w:b w:val="0"/>
                      <w:bCs/>
                    </w:rPr>
                  </w:pPr>
                  <w:r>
                    <w:rPr>
                      <w:b w:val="0"/>
                      <w:bCs/>
                    </w:rPr>
                    <w:t>废水</w:t>
                  </w:r>
                </w:p>
              </w:tc>
              <w:tc>
                <w:tcPr>
                  <w:tcW w:w="3807" w:type="dxa"/>
                  <w:tcMar>
                    <w:left w:w="0" w:type="dxa"/>
                    <w:right w:w="0" w:type="dxa"/>
                  </w:tcMar>
                  <w:vAlign w:val="center"/>
                </w:tcPr>
                <w:p>
                  <w:pPr>
                    <w:pStyle w:val="66"/>
                    <w:adjustRightInd/>
                    <w:snapToGrid/>
                    <w:spacing w:before="0" w:after="0"/>
                    <w:ind w:right="0"/>
                    <w:rPr>
                      <w:b w:val="0"/>
                      <w:bCs/>
                    </w:rPr>
                  </w:pPr>
                  <w:r>
                    <w:rPr>
                      <w:b w:val="0"/>
                      <w:bCs/>
                    </w:rPr>
                    <w:t>隔油池</w:t>
                  </w:r>
                </w:p>
              </w:tc>
              <w:tc>
                <w:tcPr>
                  <w:tcW w:w="1548" w:type="dxa"/>
                  <w:vMerge w:val="restart"/>
                  <w:tcMar>
                    <w:left w:w="0" w:type="dxa"/>
                    <w:right w:w="0" w:type="dxa"/>
                  </w:tcMar>
                  <w:vAlign w:val="center"/>
                </w:tcPr>
                <w:p>
                  <w:pPr>
                    <w:pStyle w:val="66"/>
                    <w:spacing w:before="0" w:after="0"/>
                    <w:ind w:right="0"/>
                    <w:rPr>
                      <w:b w:val="0"/>
                      <w:bCs/>
                    </w:rPr>
                  </w:pPr>
                  <w:r>
                    <w:rPr>
                      <w:b w:val="0"/>
                      <w:kern w:val="0"/>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adjustRightInd/>
                    <w:snapToGrid/>
                    <w:spacing w:before="0" w:after="0"/>
                    <w:ind w:right="0"/>
                    <w:rPr>
                      <w:b w:val="0"/>
                      <w:bCs/>
                    </w:rPr>
                  </w:pPr>
                </w:p>
              </w:tc>
              <w:tc>
                <w:tcPr>
                  <w:tcW w:w="1602" w:type="dxa"/>
                  <w:vMerge w:val="continue"/>
                  <w:tcMar>
                    <w:left w:w="0" w:type="dxa"/>
                    <w:right w:w="0" w:type="dxa"/>
                  </w:tcMar>
                  <w:vAlign w:val="center"/>
                </w:tcPr>
                <w:p>
                  <w:pPr>
                    <w:pStyle w:val="66"/>
                    <w:adjustRightInd/>
                    <w:snapToGrid/>
                    <w:spacing w:before="0" w:after="0"/>
                    <w:ind w:right="0"/>
                    <w:rPr>
                      <w:b w:val="0"/>
                      <w:bCs/>
                    </w:rPr>
                  </w:pPr>
                </w:p>
              </w:tc>
              <w:tc>
                <w:tcPr>
                  <w:tcW w:w="3807" w:type="dxa"/>
                  <w:tcMar>
                    <w:left w:w="0" w:type="dxa"/>
                    <w:right w:w="0" w:type="dxa"/>
                  </w:tcMar>
                  <w:vAlign w:val="center"/>
                </w:tcPr>
                <w:p>
                  <w:pPr>
                    <w:pStyle w:val="66"/>
                    <w:adjustRightInd/>
                    <w:snapToGrid/>
                    <w:spacing w:before="0" w:after="0"/>
                    <w:ind w:right="0"/>
                    <w:rPr>
                      <w:b w:val="0"/>
                      <w:bCs/>
                    </w:rPr>
                  </w:pPr>
                  <w:r>
                    <w:rPr>
                      <w:b w:val="0"/>
                      <w:bCs/>
                    </w:rPr>
                    <w:t>化粪池</w:t>
                  </w:r>
                </w:p>
              </w:tc>
              <w:tc>
                <w:tcPr>
                  <w:tcW w:w="1548" w:type="dxa"/>
                  <w:vMerge w:val="continue"/>
                  <w:tcMar>
                    <w:left w:w="0" w:type="dxa"/>
                    <w:right w:w="0" w:type="dxa"/>
                  </w:tcMar>
                  <w:vAlign w:val="center"/>
                </w:tcPr>
                <w:p>
                  <w:pPr>
                    <w:pStyle w:val="66"/>
                    <w:spacing w:before="0" w:after="0"/>
                    <w:ind w:right="0"/>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adjustRightInd/>
                    <w:snapToGrid/>
                    <w:spacing w:before="0" w:after="0"/>
                    <w:ind w:right="0"/>
                    <w:rPr>
                      <w:b w:val="0"/>
                      <w:bCs/>
                    </w:rPr>
                  </w:pPr>
                </w:p>
              </w:tc>
              <w:tc>
                <w:tcPr>
                  <w:tcW w:w="1602" w:type="dxa"/>
                  <w:vMerge w:val="continue"/>
                  <w:tcMar>
                    <w:left w:w="0" w:type="dxa"/>
                    <w:right w:w="0" w:type="dxa"/>
                  </w:tcMar>
                  <w:vAlign w:val="center"/>
                </w:tcPr>
                <w:p>
                  <w:pPr>
                    <w:pStyle w:val="66"/>
                    <w:adjustRightInd/>
                    <w:snapToGrid/>
                    <w:spacing w:before="0" w:after="0"/>
                    <w:ind w:right="0"/>
                    <w:rPr>
                      <w:b w:val="0"/>
                      <w:bCs/>
                    </w:rPr>
                  </w:pPr>
                </w:p>
              </w:tc>
              <w:tc>
                <w:tcPr>
                  <w:tcW w:w="3807" w:type="dxa"/>
                  <w:tcMar>
                    <w:left w:w="0" w:type="dxa"/>
                    <w:right w:w="0" w:type="dxa"/>
                  </w:tcMar>
                  <w:vAlign w:val="center"/>
                </w:tcPr>
                <w:p>
                  <w:pPr>
                    <w:pStyle w:val="66"/>
                    <w:adjustRightInd/>
                    <w:snapToGrid/>
                    <w:spacing w:before="0" w:after="0"/>
                    <w:ind w:right="0"/>
                    <w:rPr>
                      <w:b w:val="0"/>
                      <w:bCs/>
                    </w:rPr>
                  </w:pPr>
                  <w:r>
                    <w:rPr>
                      <w:b w:val="0"/>
                      <w:bCs/>
                    </w:rPr>
                    <w:t>事故池</w:t>
                  </w:r>
                </w:p>
              </w:tc>
              <w:tc>
                <w:tcPr>
                  <w:tcW w:w="1548" w:type="dxa"/>
                  <w:vMerge w:val="continue"/>
                  <w:tcMar>
                    <w:left w:w="0" w:type="dxa"/>
                    <w:right w:w="0" w:type="dxa"/>
                  </w:tcMar>
                  <w:vAlign w:val="center"/>
                </w:tcPr>
                <w:p>
                  <w:pPr>
                    <w:pStyle w:val="66"/>
                    <w:spacing w:before="0" w:after="0"/>
                    <w:ind w:right="0"/>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adjustRightInd/>
                    <w:snapToGrid/>
                    <w:spacing w:before="0" w:after="0"/>
                    <w:ind w:right="0"/>
                    <w:rPr>
                      <w:b w:val="0"/>
                      <w:bCs/>
                    </w:rPr>
                  </w:pPr>
                </w:p>
              </w:tc>
              <w:tc>
                <w:tcPr>
                  <w:tcW w:w="1602" w:type="dxa"/>
                  <w:vMerge w:val="continue"/>
                  <w:tcMar>
                    <w:left w:w="0" w:type="dxa"/>
                    <w:right w:w="0" w:type="dxa"/>
                  </w:tcMar>
                  <w:vAlign w:val="center"/>
                </w:tcPr>
                <w:p>
                  <w:pPr>
                    <w:pStyle w:val="66"/>
                    <w:adjustRightInd/>
                    <w:snapToGrid/>
                    <w:spacing w:before="0" w:after="0"/>
                    <w:ind w:right="0"/>
                    <w:rPr>
                      <w:b w:val="0"/>
                      <w:bCs/>
                    </w:rPr>
                  </w:pPr>
                </w:p>
              </w:tc>
              <w:tc>
                <w:tcPr>
                  <w:tcW w:w="3807" w:type="dxa"/>
                  <w:tcMar>
                    <w:left w:w="0" w:type="dxa"/>
                    <w:right w:w="0" w:type="dxa"/>
                  </w:tcMar>
                  <w:vAlign w:val="center"/>
                </w:tcPr>
                <w:p>
                  <w:pPr>
                    <w:pStyle w:val="66"/>
                    <w:adjustRightInd/>
                    <w:snapToGrid/>
                    <w:spacing w:before="0" w:after="0"/>
                    <w:ind w:right="0"/>
                    <w:rPr>
                      <w:b w:val="0"/>
                      <w:bCs/>
                    </w:rPr>
                  </w:pPr>
                  <w:r>
                    <w:rPr>
                      <w:b w:val="0"/>
                      <w:bCs/>
                    </w:rPr>
                    <w:t>污水处理站</w:t>
                  </w:r>
                </w:p>
              </w:tc>
              <w:tc>
                <w:tcPr>
                  <w:tcW w:w="1548" w:type="dxa"/>
                  <w:vMerge w:val="continue"/>
                  <w:tcMar>
                    <w:left w:w="0" w:type="dxa"/>
                    <w:right w:w="0" w:type="dxa"/>
                  </w:tcMar>
                  <w:vAlign w:val="center"/>
                </w:tcPr>
                <w:p>
                  <w:pPr>
                    <w:pStyle w:val="66"/>
                    <w:spacing w:before="0" w:after="0"/>
                    <w:ind w:right="0"/>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restart"/>
                  <w:tcMar>
                    <w:left w:w="0" w:type="dxa"/>
                    <w:right w:w="0" w:type="dxa"/>
                  </w:tcMar>
                  <w:vAlign w:val="center"/>
                </w:tcPr>
                <w:p>
                  <w:pPr>
                    <w:pStyle w:val="66"/>
                    <w:spacing w:before="0" w:after="0"/>
                    <w:ind w:right="0"/>
                    <w:rPr>
                      <w:b w:val="0"/>
                      <w:bCs/>
                    </w:rPr>
                  </w:pPr>
                  <w:r>
                    <w:rPr>
                      <w:b w:val="0"/>
                      <w:bCs/>
                    </w:rPr>
                    <w:t>固废</w:t>
                  </w:r>
                </w:p>
              </w:tc>
              <w:tc>
                <w:tcPr>
                  <w:tcW w:w="1602" w:type="dxa"/>
                  <w:tcMar>
                    <w:left w:w="0" w:type="dxa"/>
                    <w:right w:w="0" w:type="dxa"/>
                  </w:tcMar>
                  <w:vAlign w:val="center"/>
                </w:tcPr>
                <w:p>
                  <w:pPr>
                    <w:pStyle w:val="66"/>
                    <w:spacing w:before="0" w:after="0"/>
                    <w:ind w:right="0"/>
                    <w:rPr>
                      <w:b w:val="0"/>
                      <w:bCs/>
                    </w:rPr>
                  </w:pPr>
                  <w:r>
                    <w:rPr>
                      <w:b w:val="0"/>
                      <w:bCs/>
                    </w:rPr>
                    <w:t>生活垃圾</w:t>
                  </w:r>
                </w:p>
              </w:tc>
              <w:tc>
                <w:tcPr>
                  <w:tcW w:w="3807" w:type="dxa"/>
                  <w:tcMar>
                    <w:left w:w="0" w:type="dxa"/>
                    <w:right w:w="0" w:type="dxa"/>
                  </w:tcMar>
                  <w:vAlign w:val="center"/>
                </w:tcPr>
                <w:p>
                  <w:pPr>
                    <w:pStyle w:val="66"/>
                    <w:spacing w:before="0" w:after="0"/>
                    <w:ind w:right="0"/>
                    <w:rPr>
                      <w:b w:val="0"/>
                      <w:bCs/>
                    </w:rPr>
                  </w:pPr>
                  <w:r>
                    <w:rPr>
                      <w:b w:val="0"/>
                      <w:bCs/>
                    </w:rPr>
                    <w:t>垃圾桶</w:t>
                  </w:r>
                </w:p>
              </w:tc>
              <w:tc>
                <w:tcPr>
                  <w:tcW w:w="1548" w:type="dxa"/>
                  <w:tcMar>
                    <w:left w:w="0" w:type="dxa"/>
                    <w:right w:w="0" w:type="dxa"/>
                  </w:tcMar>
                  <w:vAlign w:val="center"/>
                </w:tcPr>
                <w:p>
                  <w:pPr>
                    <w:pStyle w:val="66"/>
                    <w:spacing w:before="0" w:after="0"/>
                    <w:ind w:right="0"/>
                    <w:rPr>
                      <w:b w:val="0"/>
                      <w:bCs/>
                    </w:rPr>
                  </w:pPr>
                  <w:r>
                    <w:rPr>
                      <w:b w:val="0"/>
                      <w:bC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废油脂</w:t>
                  </w:r>
                </w:p>
              </w:tc>
              <w:tc>
                <w:tcPr>
                  <w:tcW w:w="3807" w:type="dxa"/>
                  <w:tcMar>
                    <w:left w:w="0" w:type="dxa"/>
                    <w:right w:w="0" w:type="dxa"/>
                  </w:tcMar>
                  <w:vAlign w:val="center"/>
                </w:tcPr>
                <w:p>
                  <w:pPr>
                    <w:pStyle w:val="66"/>
                    <w:spacing w:before="0" w:after="0"/>
                    <w:ind w:right="0"/>
                    <w:rPr>
                      <w:b w:val="0"/>
                      <w:bCs/>
                    </w:rPr>
                  </w:pPr>
                  <w:r>
                    <w:rPr>
                      <w:b w:val="0"/>
                      <w:bCs/>
                    </w:rPr>
                    <w:t>专用容器</w:t>
                  </w:r>
                </w:p>
              </w:tc>
              <w:tc>
                <w:tcPr>
                  <w:tcW w:w="1548" w:type="dxa"/>
                  <w:tcMar>
                    <w:left w:w="0" w:type="dxa"/>
                    <w:right w:w="0" w:type="dxa"/>
                  </w:tcMar>
                  <w:vAlign w:val="center"/>
                </w:tcPr>
                <w:p>
                  <w:pPr>
                    <w:pStyle w:val="66"/>
                    <w:spacing w:before="0" w:after="0"/>
                    <w:ind w:right="0"/>
                    <w:rPr>
                      <w:b w:val="0"/>
                      <w:bCs/>
                    </w:rPr>
                  </w:pPr>
                  <w:r>
                    <w:rPr>
                      <w:b w:val="0"/>
                      <w:bC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废包装物</w:t>
                  </w:r>
                </w:p>
              </w:tc>
              <w:tc>
                <w:tcPr>
                  <w:tcW w:w="3807" w:type="dxa"/>
                  <w:tcMar>
                    <w:left w:w="0" w:type="dxa"/>
                    <w:right w:w="0" w:type="dxa"/>
                  </w:tcMar>
                  <w:vAlign w:val="center"/>
                </w:tcPr>
                <w:p>
                  <w:pPr>
                    <w:pStyle w:val="66"/>
                    <w:spacing w:before="0" w:after="0"/>
                    <w:ind w:right="0"/>
                    <w:rPr>
                      <w:b w:val="0"/>
                      <w:bCs/>
                    </w:rPr>
                  </w:pPr>
                  <w:r>
                    <w:rPr>
                      <w:b w:val="0"/>
                      <w:bCs/>
                    </w:rPr>
                    <w:t>收集桶</w:t>
                  </w:r>
                </w:p>
              </w:tc>
              <w:tc>
                <w:tcPr>
                  <w:tcW w:w="1548" w:type="dxa"/>
                  <w:tcMar>
                    <w:left w:w="0" w:type="dxa"/>
                    <w:right w:w="0" w:type="dxa"/>
                  </w:tcMar>
                  <w:vAlign w:val="center"/>
                </w:tcPr>
                <w:p>
                  <w:pPr>
                    <w:pStyle w:val="66"/>
                    <w:spacing w:before="0" w:after="0"/>
                    <w:ind w:right="0"/>
                    <w:rPr>
                      <w:b w:val="0"/>
                      <w:bCs/>
                    </w:rPr>
                  </w:pPr>
                  <w:r>
                    <w:rPr>
                      <w:b w:val="0"/>
                      <w:bC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废离子交换树脂</w:t>
                  </w:r>
                </w:p>
              </w:tc>
              <w:tc>
                <w:tcPr>
                  <w:tcW w:w="3807" w:type="dxa"/>
                  <w:tcMar>
                    <w:left w:w="0" w:type="dxa"/>
                    <w:right w:w="0" w:type="dxa"/>
                  </w:tcMar>
                  <w:vAlign w:val="center"/>
                </w:tcPr>
                <w:p>
                  <w:pPr>
                    <w:pStyle w:val="66"/>
                    <w:spacing w:before="0" w:after="0"/>
                    <w:ind w:right="0"/>
                    <w:rPr>
                      <w:b w:val="0"/>
                      <w:bCs/>
                    </w:rPr>
                  </w:pPr>
                  <w:r>
                    <w:rPr>
                      <w:b w:val="0"/>
                      <w:bCs/>
                    </w:rPr>
                    <w:t>由厂界更换回收处置</w:t>
                  </w:r>
                </w:p>
              </w:tc>
              <w:tc>
                <w:tcPr>
                  <w:tcW w:w="1548" w:type="dxa"/>
                  <w:tcMar>
                    <w:left w:w="0" w:type="dxa"/>
                    <w:right w:w="0" w:type="dxa"/>
                  </w:tcMar>
                  <w:vAlign w:val="center"/>
                </w:tcPr>
                <w:p>
                  <w:pPr>
                    <w:pStyle w:val="66"/>
                    <w:spacing w:before="0" w:after="0"/>
                    <w:ind w:right="0"/>
                    <w:rPr>
                      <w:b w:val="0"/>
                      <w:bCs/>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污水处理站污泥</w:t>
                  </w:r>
                </w:p>
              </w:tc>
              <w:tc>
                <w:tcPr>
                  <w:tcW w:w="3807" w:type="dxa"/>
                  <w:tcMar>
                    <w:left w:w="0" w:type="dxa"/>
                    <w:right w:w="0" w:type="dxa"/>
                  </w:tcMar>
                  <w:vAlign w:val="center"/>
                </w:tcPr>
                <w:p>
                  <w:pPr>
                    <w:pStyle w:val="66"/>
                    <w:spacing w:before="0" w:after="0"/>
                    <w:ind w:right="0"/>
                    <w:rPr>
                      <w:b w:val="0"/>
                      <w:bCs/>
                    </w:rPr>
                  </w:pPr>
                  <w:r>
                    <w:rPr>
                      <w:b w:val="0"/>
                      <w:bCs/>
                    </w:rPr>
                    <w:t>消毒并交有资质单位处置</w:t>
                  </w:r>
                </w:p>
              </w:tc>
              <w:tc>
                <w:tcPr>
                  <w:tcW w:w="1548" w:type="dxa"/>
                  <w:tcMar>
                    <w:left w:w="0" w:type="dxa"/>
                    <w:right w:w="0" w:type="dxa"/>
                  </w:tcMar>
                  <w:vAlign w:val="center"/>
                </w:tcPr>
                <w:p>
                  <w:pPr>
                    <w:pStyle w:val="66"/>
                    <w:spacing w:before="0" w:after="0"/>
                    <w:ind w:right="0"/>
                    <w:rPr>
                      <w:b w:val="0"/>
                      <w:bCs/>
                    </w:rPr>
                  </w:pPr>
                  <w:r>
                    <w:rPr>
                      <w:b w:val="0"/>
                      <w:bC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废弃输液瓶</w:t>
                  </w:r>
                </w:p>
              </w:tc>
              <w:tc>
                <w:tcPr>
                  <w:tcW w:w="3807" w:type="dxa"/>
                  <w:tcMar>
                    <w:left w:w="0" w:type="dxa"/>
                    <w:right w:w="0" w:type="dxa"/>
                  </w:tcMar>
                  <w:vAlign w:val="center"/>
                </w:tcPr>
                <w:p>
                  <w:pPr>
                    <w:pStyle w:val="66"/>
                    <w:spacing w:before="0" w:after="0"/>
                    <w:ind w:right="0"/>
                    <w:rPr>
                      <w:b w:val="0"/>
                      <w:bCs/>
                    </w:rPr>
                  </w:pPr>
                  <w:r>
                    <w:rPr>
                      <w:b w:val="0"/>
                      <w:bCs/>
                    </w:rPr>
                    <w:t>由专门单位回收处置</w:t>
                  </w:r>
                </w:p>
              </w:tc>
              <w:tc>
                <w:tcPr>
                  <w:tcW w:w="1548" w:type="dxa"/>
                  <w:tcMar>
                    <w:left w:w="0" w:type="dxa"/>
                    <w:right w:w="0" w:type="dxa"/>
                  </w:tcMar>
                  <w:vAlign w:val="center"/>
                </w:tcPr>
                <w:p>
                  <w:pPr>
                    <w:pStyle w:val="66"/>
                    <w:spacing w:before="0" w:after="0"/>
                    <w:ind w:right="0"/>
                    <w:rPr>
                      <w:b w:val="0"/>
                      <w:bCs/>
                    </w:rPr>
                  </w:pPr>
                  <w:r>
                    <w:rPr>
                      <w:b w:val="0"/>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52" w:type="dxa"/>
                  <w:vMerge w:val="continue"/>
                  <w:tcMar>
                    <w:left w:w="0" w:type="dxa"/>
                    <w:right w:w="0" w:type="dxa"/>
                  </w:tcMar>
                  <w:vAlign w:val="center"/>
                </w:tcPr>
                <w:p>
                  <w:pPr>
                    <w:pStyle w:val="66"/>
                    <w:spacing w:before="0" w:after="0"/>
                    <w:ind w:right="0"/>
                    <w:rPr>
                      <w:b w:val="0"/>
                      <w:bCs/>
                    </w:rPr>
                  </w:pPr>
                </w:p>
              </w:tc>
              <w:tc>
                <w:tcPr>
                  <w:tcW w:w="850" w:type="dxa"/>
                  <w:vMerge w:val="continue"/>
                  <w:tcMar>
                    <w:left w:w="0" w:type="dxa"/>
                    <w:right w:w="0" w:type="dxa"/>
                  </w:tcMar>
                  <w:vAlign w:val="center"/>
                </w:tcPr>
                <w:p>
                  <w:pPr>
                    <w:pStyle w:val="66"/>
                    <w:spacing w:before="0" w:after="0"/>
                    <w:ind w:right="0"/>
                    <w:rPr>
                      <w:b w:val="0"/>
                      <w:bCs/>
                    </w:rPr>
                  </w:pPr>
                </w:p>
              </w:tc>
              <w:tc>
                <w:tcPr>
                  <w:tcW w:w="1602" w:type="dxa"/>
                  <w:tcMar>
                    <w:left w:w="0" w:type="dxa"/>
                    <w:right w:w="0" w:type="dxa"/>
                  </w:tcMar>
                  <w:vAlign w:val="center"/>
                </w:tcPr>
                <w:p>
                  <w:pPr>
                    <w:pStyle w:val="66"/>
                    <w:spacing w:before="0" w:after="0"/>
                    <w:ind w:right="0"/>
                    <w:rPr>
                      <w:b w:val="0"/>
                      <w:bCs/>
                    </w:rPr>
                  </w:pPr>
                  <w:r>
                    <w:rPr>
                      <w:b w:val="0"/>
                      <w:bCs/>
                    </w:rPr>
                    <w:t>医疗废物</w:t>
                  </w:r>
                </w:p>
              </w:tc>
              <w:tc>
                <w:tcPr>
                  <w:tcW w:w="3807" w:type="dxa"/>
                  <w:tcMar>
                    <w:left w:w="0" w:type="dxa"/>
                    <w:right w:w="0" w:type="dxa"/>
                  </w:tcMar>
                  <w:vAlign w:val="center"/>
                </w:tcPr>
                <w:p>
                  <w:pPr>
                    <w:pStyle w:val="66"/>
                    <w:spacing w:before="0" w:after="0"/>
                    <w:ind w:right="0"/>
                    <w:rPr>
                      <w:b w:val="0"/>
                      <w:bCs/>
                    </w:rPr>
                  </w:pPr>
                  <w:r>
                    <w:rPr>
                      <w:b w:val="0"/>
                      <w:bCs/>
                    </w:rPr>
                    <w:t>医疗废物暂存间暂存，并交有资质单位处置</w:t>
                  </w:r>
                </w:p>
              </w:tc>
              <w:tc>
                <w:tcPr>
                  <w:tcW w:w="1548" w:type="dxa"/>
                  <w:tcMar>
                    <w:left w:w="0" w:type="dxa"/>
                    <w:right w:w="0" w:type="dxa"/>
                  </w:tcMar>
                  <w:vAlign w:val="center"/>
                </w:tcPr>
                <w:p>
                  <w:pPr>
                    <w:pStyle w:val="66"/>
                    <w:spacing w:before="0" w:after="0"/>
                    <w:ind w:right="0"/>
                    <w:rPr>
                      <w:b w:val="0"/>
                      <w:bCs/>
                    </w:rPr>
                  </w:pPr>
                  <w:r>
                    <w:rPr>
                      <w:b w:val="0"/>
                      <w:bC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6911" w:type="dxa"/>
                  <w:gridSpan w:val="4"/>
                  <w:tcMar>
                    <w:left w:w="0" w:type="dxa"/>
                    <w:right w:w="0" w:type="dxa"/>
                  </w:tcMar>
                  <w:vAlign w:val="center"/>
                </w:tcPr>
                <w:p>
                  <w:pPr>
                    <w:pStyle w:val="66"/>
                    <w:spacing w:before="0" w:after="0"/>
                    <w:ind w:right="0"/>
                    <w:rPr>
                      <w:b w:val="0"/>
                      <w:bCs/>
                    </w:rPr>
                  </w:pPr>
                  <w:r>
                    <w:rPr>
                      <w:b w:val="0"/>
                      <w:bCs/>
                    </w:rPr>
                    <w:t>合计</w:t>
                  </w:r>
                </w:p>
              </w:tc>
              <w:tc>
                <w:tcPr>
                  <w:tcW w:w="1548" w:type="dxa"/>
                  <w:tcMar>
                    <w:left w:w="0" w:type="dxa"/>
                    <w:right w:w="0" w:type="dxa"/>
                  </w:tcMar>
                  <w:vAlign w:val="center"/>
                </w:tcPr>
                <w:p>
                  <w:pPr>
                    <w:pStyle w:val="66"/>
                    <w:spacing w:before="0" w:after="0"/>
                    <w:ind w:right="0"/>
                    <w:rPr>
                      <w:b w:val="0"/>
                      <w:bCs/>
                    </w:rPr>
                  </w:pPr>
                  <w:r>
                    <w:rPr>
                      <w:b w:val="0"/>
                      <w:bCs/>
                    </w:rPr>
                    <w:t>86.2</w:t>
                  </w:r>
                </w:p>
              </w:tc>
            </w:tr>
          </w:tbl>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p>
            <w:pPr>
              <w:adjustRightInd w:val="0"/>
              <w:spacing w:line="360" w:lineRule="auto"/>
              <w:contextualSpacing/>
              <w:rPr>
                <w:bCs/>
                <w:szCs w:val="21"/>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19"/>
        <w:spacing w:before="0" w:beforeAutospacing="0" w:after="0" w:afterAutospacing="0" w:line="360" w:lineRule="auto"/>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25" w:name="_Hlk54167917"/>
      <w:r>
        <w:rPr>
          <w:rFonts w:ascii="Times New Roman" w:hAnsi="Times New Roman" w:eastAsia="黑体"/>
          <w:snapToGrid w:val="0"/>
          <w:sz w:val="30"/>
          <w:szCs w:val="30"/>
        </w:rPr>
        <w:t>环境保护措施监督检查清单</w:t>
      </w:r>
      <w:bookmarkEnd w:id="25"/>
    </w:p>
    <w:tbl>
      <w:tblPr>
        <w:tblStyle w:val="21"/>
        <w:tblW w:w="8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833"/>
        <w:gridCol w:w="1609"/>
        <w:gridCol w:w="1731"/>
        <w:gridCol w:w="23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1416" w:type="dxa"/>
            <w:tcBorders>
              <w:tl2br w:val="single" w:color="auto" w:sz="4" w:space="0"/>
            </w:tcBorders>
          </w:tcPr>
          <w:p>
            <w:pPr>
              <w:adjustRightInd w:val="0"/>
              <w:snapToGrid w:val="0"/>
              <w:ind w:firstLine="480" w:firstLineChars="200"/>
              <w:rPr>
                <w:sz w:val="24"/>
              </w:rPr>
            </w:pPr>
            <w:r>
              <w:rPr>
                <w:sz w:val="24"/>
              </w:rPr>
              <w:t>内容</w:t>
            </w:r>
          </w:p>
          <w:p>
            <w:pPr>
              <w:adjustRightInd w:val="0"/>
              <w:snapToGrid w:val="0"/>
              <w:rPr>
                <w:sz w:val="24"/>
              </w:rPr>
            </w:pPr>
            <w:r>
              <w:rPr>
                <w:sz w:val="24"/>
              </w:rPr>
              <w:t>要素</w:t>
            </w:r>
          </w:p>
        </w:tc>
        <w:tc>
          <w:tcPr>
            <w:tcW w:w="1996" w:type="dxa"/>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1690" w:type="dxa"/>
            <w:vAlign w:val="center"/>
          </w:tcPr>
          <w:p>
            <w:pPr>
              <w:adjustRightInd w:val="0"/>
              <w:snapToGrid w:val="0"/>
              <w:jc w:val="center"/>
              <w:rPr>
                <w:sz w:val="24"/>
              </w:rPr>
            </w:pPr>
            <w:r>
              <w:rPr>
                <w:sz w:val="24"/>
              </w:rPr>
              <w:t>污染物项目</w:t>
            </w:r>
          </w:p>
        </w:tc>
        <w:tc>
          <w:tcPr>
            <w:tcW w:w="1842" w:type="dxa"/>
            <w:vAlign w:val="center"/>
          </w:tcPr>
          <w:p>
            <w:pPr>
              <w:adjustRightInd w:val="0"/>
              <w:snapToGrid w:val="0"/>
              <w:jc w:val="center"/>
              <w:rPr>
                <w:sz w:val="24"/>
              </w:rPr>
            </w:pPr>
            <w:r>
              <w:rPr>
                <w:sz w:val="24"/>
              </w:rPr>
              <w:t>环境保护措施</w:t>
            </w:r>
          </w:p>
        </w:tc>
        <w:tc>
          <w:tcPr>
            <w:tcW w:w="1953" w:type="dxa"/>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6" w:type="dxa"/>
            <w:vMerge w:val="restart"/>
            <w:vAlign w:val="center"/>
          </w:tcPr>
          <w:p>
            <w:pPr>
              <w:snapToGrid w:val="0"/>
              <w:jc w:val="center"/>
              <w:rPr>
                <w:sz w:val="24"/>
              </w:rPr>
            </w:pPr>
            <w:r>
              <w:rPr>
                <w:sz w:val="24"/>
              </w:rPr>
              <w:t>大气环境</w:t>
            </w:r>
          </w:p>
        </w:tc>
        <w:tc>
          <w:tcPr>
            <w:tcW w:w="1996" w:type="dxa"/>
            <w:vAlign w:val="center"/>
          </w:tcPr>
          <w:p>
            <w:pPr>
              <w:adjustRightInd w:val="0"/>
              <w:snapToGrid w:val="0"/>
              <w:jc w:val="center"/>
              <w:rPr>
                <w:sz w:val="24"/>
              </w:rPr>
            </w:pPr>
            <w:r>
              <w:rPr>
                <w:sz w:val="24"/>
              </w:rPr>
              <w:t xml:space="preserve">废水处理站废气 </w:t>
            </w:r>
          </w:p>
        </w:tc>
        <w:tc>
          <w:tcPr>
            <w:tcW w:w="1690" w:type="dxa"/>
            <w:vAlign w:val="center"/>
          </w:tcPr>
          <w:p>
            <w:pPr>
              <w:adjustRightInd w:val="0"/>
              <w:snapToGrid w:val="0"/>
              <w:jc w:val="center"/>
              <w:rPr>
                <w:sz w:val="24"/>
              </w:rPr>
            </w:pPr>
            <w:r>
              <w:rPr>
                <w:sz w:val="24"/>
              </w:rPr>
              <w:t>H</w:t>
            </w:r>
            <w:r>
              <w:rPr>
                <w:sz w:val="24"/>
                <w:vertAlign w:val="subscript"/>
              </w:rPr>
              <w:t>2</w:t>
            </w:r>
            <w:r>
              <w:rPr>
                <w:sz w:val="24"/>
              </w:rPr>
              <w:t>S、NH</w:t>
            </w:r>
            <w:r>
              <w:rPr>
                <w:sz w:val="24"/>
                <w:vertAlign w:val="subscript"/>
              </w:rPr>
              <w:t>3</w:t>
            </w:r>
            <w:r>
              <w:rPr>
                <w:sz w:val="24"/>
              </w:rPr>
              <w:t>、臭气浓度</w:t>
            </w:r>
          </w:p>
        </w:tc>
        <w:tc>
          <w:tcPr>
            <w:tcW w:w="1842" w:type="dxa"/>
            <w:vAlign w:val="center"/>
          </w:tcPr>
          <w:p>
            <w:pPr>
              <w:adjustRightInd w:val="0"/>
              <w:snapToGrid w:val="0"/>
              <w:jc w:val="center"/>
              <w:rPr>
                <w:sz w:val="24"/>
              </w:rPr>
            </w:pPr>
            <w:r>
              <w:rPr>
                <w:sz w:val="24"/>
              </w:rPr>
              <w:t>装置密闭+活性炭吸附装置+15m高排气筒+投放除臭剂</w:t>
            </w:r>
          </w:p>
        </w:tc>
        <w:tc>
          <w:tcPr>
            <w:tcW w:w="1953" w:type="dxa"/>
            <w:vAlign w:val="center"/>
          </w:tcPr>
          <w:p>
            <w:pPr>
              <w:adjustRightInd w:val="0"/>
              <w:snapToGrid w:val="0"/>
              <w:jc w:val="center"/>
              <w:rPr>
                <w:bCs/>
                <w:sz w:val="24"/>
              </w:rPr>
            </w:pPr>
            <w:r>
              <w:rPr>
                <w:sz w:val="24"/>
              </w:rPr>
              <w:t>《恶臭污染物排放标准》（GB14554-93）表2中的标准要求、《医疗机构水污染物 排放标准》 （GB18466-2005）表3中的标准要求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6" w:type="dxa"/>
            <w:vMerge w:val="continue"/>
            <w:vAlign w:val="center"/>
          </w:tcPr>
          <w:p>
            <w:pPr>
              <w:snapToGrid w:val="0"/>
              <w:jc w:val="center"/>
              <w:rPr>
                <w:sz w:val="24"/>
              </w:rPr>
            </w:pPr>
          </w:p>
        </w:tc>
        <w:tc>
          <w:tcPr>
            <w:tcW w:w="1996" w:type="dxa"/>
            <w:vAlign w:val="center"/>
          </w:tcPr>
          <w:p>
            <w:pPr>
              <w:snapToGrid w:val="0"/>
              <w:spacing w:line="360" w:lineRule="auto"/>
              <w:jc w:val="center"/>
              <w:rPr>
                <w:sz w:val="24"/>
              </w:rPr>
            </w:pPr>
            <w:r>
              <w:rPr>
                <w:sz w:val="24"/>
              </w:rPr>
              <w:t>锅炉废气</w:t>
            </w:r>
          </w:p>
        </w:tc>
        <w:tc>
          <w:tcPr>
            <w:tcW w:w="1690" w:type="dxa"/>
            <w:vAlign w:val="center"/>
          </w:tcPr>
          <w:p>
            <w:pPr>
              <w:snapToGrid w:val="0"/>
              <w:spacing w:line="360" w:lineRule="auto"/>
              <w:jc w:val="center"/>
              <w:rPr>
                <w:sz w:val="24"/>
              </w:rPr>
            </w:pPr>
            <w:r>
              <w:rPr>
                <w:sz w:val="24"/>
              </w:rPr>
              <w:t>颗粒物、SO</w:t>
            </w:r>
            <w:r>
              <w:rPr>
                <w:sz w:val="24"/>
                <w:vertAlign w:val="subscript"/>
              </w:rPr>
              <w:t>2</w:t>
            </w:r>
            <w:r>
              <w:rPr>
                <w:sz w:val="24"/>
              </w:rPr>
              <w:t>、NO</w:t>
            </w:r>
            <w:r>
              <w:rPr>
                <w:sz w:val="24"/>
                <w:vertAlign w:val="subscript"/>
              </w:rPr>
              <w:t>X</w:t>
            </w:r>
          </w:p>
        </w:tc>
        <w:tc>
          <w:tcPr>
            <w:tcW w:w="1842" w:type="dxa"/>
            <w:vAlign w:val="center"/>
          </w:tcPr>
          <w:p>
            <w:pPr>
              <w:snapToGrid w:val="0"/>
              <w:jc w:val="center"/>
              <w:rPr>
                <w:kern w:val="0"/>
                <w:sz w:val="24"/>
              </w:rPr>
            </w:pPr>
            <w:r>
              <w:rPr>
                <w:kern w:val="0"/>
                <w:sz w:val="24"/>
              </w:rPr>
              <w:t>低氮燃烧器+28.7m高排气筒</w:t>
            </w:r>
          </w:p>
        </w:tc>
        <w:tc>
          <w:tcPr>
            <w:tcW w:w="1953" w:type="dxa"/>
            <w:vAlign w:val="center"/>
          </w:tcPr>
          <w:p>
            <w:pPr>
              <w:pStyle w:val="19"/>
              <w:widowControl w:val="0"/>
              <w:overflowPunct w:val="0"/>
              <w:snapToGrid w:val="0"/>
              <w:spacing w:before="0" w:beforeAutospacing="0" w:after="0" w:afterAutospacing="0"/>
              <w:jc w:val="center"/>
              <w:rPr>
                <w:rFonts w:ascii="Times New Roman" w:hAnsi="Times New Roman"/>
                <w:szCs w:val="24"/>
              </w:rPr>
            </w:pPr>
            <w:r>
              <w:rPr>
                <w:rFonts w:ascii="Times New Roman" w:hAnsi="Times New Roman"/>
                <w:kern w:val="21"/>
                <w:szCs w:val="24"/>
              </w:rPr>
              <w:t>《锅炉大气污染物排放标准》（DB61/1226-2018）中燃气锅炉排放限值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6" w:type="dxa"/>
            <w:vMerge w:val="continue"/>
            <w:vAlign w:val="center"/>
          </w:tcPr>
          <w:p>
            <w:pPr>
              <w:snapToGrid w:val="0"/>
              <w:jc w:val="center"/>
              <w:rPr>
                <w:sz w:val="24"/>
              </w:rPr>
            </w:pPr>
          </w:p>
        </w:tc>
        <w:tc>
          <w:tcPr>
            <w:tcW w:w="1996" w:type="dxa"/>
            <w:vAlign w:val="center"/>
          </w:tcPr>
          <w:p>
            <w:pPr>
              <w:snapToGrid w:val="0"/>
              <w:spacing w:line="360" w:lineRule="auto"/>
              <w:jc w:val="center"/>
              <w:rPr>
                <w:sz w:val="24"/>
              </w:rPr>
            </w:pPr>
            <w:r>
              <w:rPr>
                <w:sz w:val="24"/>
              </w:rPr>
              <w:t>油烟废气</w:t>
            </w:r>
          </w:p>
        </w:tc>
        <w:tc>
          <w:tcPr>
            <w:tcW w:w="1690" w:type="dxa"/>
            <w:vAlign w:val="center"/>
          </w:tcPr>
          <w:p>
            <w:pPr>
              <w:spacing w:line="360" w:lineRule="auto"/>
              <w:jc w:val="center"/>
              <w:rPr>
                <w:sz w:val="24"/>
              </w:rPr>
            </w:pPr>
            <w:r>
              <w:rPr>
                <w:sz w:val="24"/>
              </w:rPr>
              <w:t xml:space="preserve">油烟 </w:t>
            </w:r>
          </w:p>
        </w:tc>
        <w:tc>
          <w:tcPr>
            <w:tcW w:w="1842" w:type="dxa"/>
            <w:vAlign w:val="center"/>
          </w:tcPr>
          <w:p>
            <w:pPr>
              <w:snapToGrid w:val="0"/>
              <w:jc w:val="center"/>
              <w:rPr>
                <w:kern w:val="0"/>
                <w:sz w:val="24"/>
              </w:rPr>
            </w:pPr>
            <w:r>
              <w:rPr>
                <w:kern w:val="0"/>
                <w:sz w:val="24"/>
              </w:rPr>
              <w:t>油烟净化器</w:t>
            </w:r>
          </w:p>
        </w:tc>
        <w:tc>
          <w:tcPr>
            <w:tcW w:w="1953" w:type="dxa"/>
            <w:vAlign w:val="center"/>
          </w:tcPr>
          <w:p>
            <w:pPr>
              <w:adjustRightInd w:val="0"/>
              <w:snapToGrid w:val="0"/>
              <w:jc w:val="center"/>
              <w:rPr>
                <w:sz w:val="24"/>
              </w:rPr>
            </w:pPr>
            <w:r>
              <w:rPr>
                <w:sz w:val="24"/>
              </w:rPr>
              <w:t>《饮食业油烟排放标准》（GB18483-2001）中最高允许排放浓度限值（≤2mg/m</w:t>
            </w:r>
            <w:r>
              <w:rPr>
                <w:sz w:val="24"/>
                <w:vertAlign w:val="superscript"/>
              </w:rPr>
              <w:t>3</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6" w:type="dxa"/>
            <w:vMerge w:val="continue"/>
            <w:vAlign w:val="center"/>
          </w:tcPr>
          <w:p>
            <w:pPr>
              <w:snapToGrid w:val="0"/>
              <w:jc w:val="center"/>
              <w:rPr>
                <w:sz w:val="24"/>
              </w:rPr>
            </w:pPr>
          </w:p>
        </w:tc>
        <w:tc>
          <w:tcPr>
            <w:tcW w:w="1996" w:type="dxa"/>
            <w:vAlign w:val="center"/>
          </w:tcPr>
          <w:p>
            <w:pPr>
              <w:snapToGrid w:val="0"/>
              <w:spacing w:line="360" w:lineRule="auto"/>
              <w:jc w:val="center"/>
              <w:rPr>
                <w:sz w:val="24"/>
              </w:rPr>
            </w:pPr>
            <w:r>
              <w:rPr>
                <w:sz w:val="24"/>
              </w:rPr>
              <w:t>柴油发电机废气</w:t>
            </w:r>
          </w:p>
        </w:tc>
        <w:tc>
          <w:tcPr>
            <w:tcW w:w="1690" w:type="dxa"/>
            <w:vAlign w:val="center"/>
          </w:tcPr>
          <w:p>
            <w:pPr>
              <w:spacing w:line="360" w:lineRule="auto"/>
              <w:jc w:val="center"/>
              <w:rPr>
                <w:sz w:val="24"/>
              </w:rPr>
            </w:pPr>
            <w:r>
              <w:rPr>
                <w:sz w:val="24"/>
              </w:rPr>
              <w:t>SO2、NOX、烟尘</w:t>
            </w:r>
          </w:p>
        </w:tc>
        <w:tc>
          <w:tcPr>
            <w:tcW w:w="1842" w:type="dxa"/>
            <w:vAlign w:val="center"/>
          </w:tcPr>
          <w:p>
            <w:pPr>
              <w:snapToGrid w:val="0"/>
              <w:jc w:val="center"/>
              <w:rPr>
                <w:sz w:val="24"/>
              </w:rPr>
            </w:pPr>
            <w:r>
              <w:rPr>
                <w:sz w:val="24"/>
              </w:rPr>
              <w:t>专用烟道引至楼顶排放</w:t>
            </w:r>
          </w:p>
        </w:tc>
        <w:tc>
          <w:tcPr>
            <w:tcW w:w="1953" w:type="dxa"/>
            <w:vAlign w:val="center"/>
          </w:tcPr>
          <w:p>
            <w:pPr>
              <w:adjustRightInd w:val="0"/>
              <w:snapToGrid w:val="0"/>
              <w:jc w:val="center"/>
              <w:rPr>
                <w:sz w:val="24"/>
              </w:rPr>
            </w:pPr>
            <w:r>
              <w:rPr>
                <w:sz w:val="24"/>
              </w:rPr>
              <w:t>《大气污染物综合排放标准》(GB16297-1996)表2二级排放标准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6" w:type="dxa"/>
            <w:vAlign w:val="center"/>
          </w:tcPr>
          <w:p>
            <w:pPr>
              <w:snapToGrid w:val="0"/>
              <w:jc w:val="center"/>
              <w:rPr>
                <w:sz w:val="24"/>
              </w:rPr>
            </w:pPr>
            <w:r>
              <w:rPr>
                <w:sz w:val="24"/>
              </w:rPr>
              <w:t>水环境</w:t>
            </w:r>
          </w:p>
        </w:tc>
        <w:tc>
          <w:tcPr>
            <w:tcW w:w="1996" w:type="dxa"/>
            <w:vAlign w:val="center"/>
          </w:tcPr>
          <w:p>
            <w:pPr>
              <w:snapToGrid w:val="0"/>
              <w:jc w:val="center"/>
              <w:rPr>
                <w:kern w:val="21"/>
                <w:sz w:val="24"/>
              </w:rPr>
            </w:pPr>
            <w:r>
              <w:rPr>
                <w:sz w:val="24"/>
              </w:rPr>
              <w:t>医疗废水</w:t>
            </w:r>
          </w:p>
        </w:tc>
        <w:tc>
          <w:tcPr>
            <w:tcW w:w="1690" w:type="dxa"/>
            <w:vAlign w:val="center"/>
          </w:tcPr>
          <w:p>
            <w:pPr>
              <w:snapToGrid w:val="0"/>
              <w:jc w:val="center"/>
              <w:rPr>
                <w:kern w:val="21"/>
                <w:sz w:val="24"/>
              </w:rPr>
            </w:pPr>
            <w:r>
              <w:rPr>
                <w:sz w:val="24"/>
              </w:rPr>
              <w:t>COD、BOD</w:t>
            </w:r>
            <w:r>
              <w:rPr>
                <w:sz w:val="24"/>
                <w:vertAlign w:val="subscript"/>
              </w:rPr>
              <w:t>5</w:t>
            </w:r>
            <w:r>
              <w:rPr>
                <w:sz w:val="24"/>
              </w:rPr>
              <w:t>、SS、氨氮、粪大肠菌群</w:t>
            </w:r>
          </w:p>
        </w:tc>
        <w:tc>
          <w:tcPr>
            <w:tcW w:w="1842" w:type="dxa"/>
            <w:vAlign w:val="center"/>
          </w:tcPr>
          <w:p>
            <w:pPr>
              <w:snapToGrid w:val="0"/>
              <w:jc w:val="center"/>
              <w:rPr>
                <w:kern w:val="21"/>
                <w:sz w:val="24"/>
              </w:rPr>
            </w:pPr>
            <w:r>
              <w:rPr>
                <w:kern w:val="21"/>
                <w:sz w:val="24"/>
              </w:rPr>
              <w:t>污水处理站</w:t>
            </w:r>
          </w:p>
        </w:tc>
        <w:tc>
          <w:tcPr>
            <w:tcW w:w="1953" w:type="dxa"/>
            <w:vAlign w:val="center"/>
          </w:tcPr>
          <w:p>
            <w:pPr>
              <w:snapToGrid w:val="0"/>
              <w:jc w:val="center"/>
              <w:rPr>
                <w:snapToGrid w:val="0"/>
                <w:spacing w:val="-4"/>
                <w:kern w:val="0"/>
                <w:sz w:val="24"/>
              </w:rPr>
            </w:pPr>
            <w:r>
              <w:rPr>
                <w:snapToGrid w:val="0"/>
                <w:spacing w:val="-4"/>
                <w:kern w:val="0"/>
                <w:sz w:val="24"/>
              </w:rPr>
              <w:t>《医疗机构水污染物排放标准》（GB 18466-2005）表2中的预处理值</w:t>
            </w:r>
            <w:r>
              <w:rPr>
                <w:sz w:val="24"/>
              </w:rPr>
              <w:t>、</w:t>
            </w:r>
            <w:r>
              <w:rPr>
                <w:snapToGrid w:val="0"/>
                <w:spacing w:val="-4"/>
                <w:kern w:val="0"/>
                <w:sz w:val="24"/>
              </w:rPr>
              <w:t>《污水排入城镇下水道水质标准》（GB/T 31962-2015）B级标准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1416" w:type="dxa"/>
            <w:vAlign w:val="center"/>
          </w:tcPr>
          <w:p>
            <w:pPr>
              <w:adjustRightInd w:val="0"/>
              <w:snapToGrid w:val="0"/>
              <w:jc w:val="center"/>
              <w:rPr>
                <w:sz w:val="24"/>
              </w:rPr>
            </w:pPr>
            <w:r>
              <w:rPr>
                <w:sz w:val="24"/>
              </w:rPr>
              <w:t>声环境</w:t>
            </w:r>
          </w:p>
        </w:tc>
        <w:tc>
          <w:tcPr>
            <w:tcW w:w="1996" w:type="dxa"/>
            <w:vAlign w:val="center"/>
          </w:tcPr>
          <w:p>
            <w:pPr>
              <w:snapToGrid w:val="0"/>
              <w:jc w:val="center"/>
              <w:rPr>
                <w:kern w:val="21"/>
                <w:sz w:val="24"/>
              </w:rPr>
            </w:pPr>
            <w:r>
              <w:rPr>
                <w:kern w:val="21"/>
                <w:sz w:val="24"/>
              </w:rPr>
              <w:t>设备运行噪声</w:t>
            </w:r>
          </w:p>
        </w:tc>
        <w:tc>
          <w:tcPr>
            <w:tcW w:w="1690" w:type="dxa"/>
            <w:vAlign w:val="center"/>
          </w:tcPr>
          <w:p>
            <w:pPr>
              <w:snapToGrid w:val="0"/>
              <w:jc w:val="center"/>
              <w:rPr>
                <w:kern w:val="21"/>
                <w:sz w:val="24"/>
              </w:rPr>
            </w:pPr>
            <w:r>
              <w:rPr>
                <w:kern w:val="21"/>
                <w:sz w:val="24"/>
              </w:rPr>
              <w:t>连续等效A声级</w:t>
            </w:r>
          </w:p>
        </w:tc>
        <w:tc>
          <w:tcPr>
            <w:tcW w:w="1842" w:type="dxa"/>
            <w:vAlign w:val="center"/>
          </w:tcPr>
          <w:p>
            <w:pPr>
              <w:adjustRightInd w:val="0"/>
              <w:snapToGrid w:val="0"/>
              <w:rPr>
                <w:sz w:val="24"/>
              </w:rPr>
            </w:pPr>
            <w:r>
              <w:rPr>
                <w:sz w:val="24"/>
              </w:rPr>
              <w:t>室内设置，选用低噪声设备，采取隔声、减振等措施，并加强管理维护。</w:t>
            </w:r>
          </w:p>
        </w:tc>
        <w:tc>
          <w:tcPr>
            <w:tcW w:w="1953" w:type="dxa"/>
            <w:vAlign w:val="center"/>
          </w:tcPr>
          <w:p>
            <w:pPr>
              <w:adjustRightInd w:val="0"/>
              <w:snapToGrid w:val="0"/>
              <w:jc w:val="center"/>
              <w:rPr>
                <w:sz w:val="24"/>
              </w:rPr>
            </w:pPr>
            <w:r>
              <w:rPr>
                <w:sz w:val="24"/>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416" w:type="dxa"/>
            <w:vAlign w:val="center"/>
          </w:tcPr>
          <w:p>
            <w:pPr>
              <w:adjustRightInd w:val="0"/>
              <w:snapToGrid w:val="0"/>
              <w:jc w:val="center"/>
              <w:rPr>
                <w:sz w:val="24"/>
              </w:rPr>
            </w:pPr>
            <w:r>
              <w:rPr>
                <w:sz w:val="24"/>
              </w:rPr>
              <w:t>电磁辐射</w:t>
            </w:r>
          </w:p>
        </w:tc>
        <w:tc>
          <w:tcPr>
            <w:tcW w:w="1996" w:type="dxa"/>
            <w:vAlign w:val="center"/>
          </w:tcPr>
          <w:p>
            <w:pPr>
              <w:adjustRightInd w:val="0"/>
              <w:snapToGrid w:val="0"/>
              <w:jc w:val="center"/>
              <w:rPr>
                <w:sz w:val="24"/>
              </w:rPr>
            </w:pPr>
            <w:r>
              <w:rPr>
                <w:sz w:val="24"/>
              </w:rPr>
              <w:t>无</w:t>
            </w:r>
          </w:p>
        </w:tc>
        <w:tc>
          <w:tcPr>
            <w:tcW w:w="1690" w:type="dxa"/>
            <w:vAlign w:val="center"/>
          </w:tcPr>
          <w:p>
            <w:pPr>
              <w:adjustRightInd w:val="0"/>
              <w:snapToGrid w:val="0"/>
              <w:jc w:val="center"/>
              <w:rPr>
                <w:sz w:val="24"/>
              </w:rPr>
            </w:pPr>
            <w:r>
              <w:rPr>
                <w:sz w:val="24"/>
              </w:rPr>
              <w:t>/</w:t>
            </w:r>
          </w:p>
        </w:tc>
        <w:tc>
          <w:tcPr>
            <w:tcW w:w="1842" w:type="dxa"/>
            <w:vAlign w:val="center"/>
          </w:tcPr>
          <w:p>
            <w:pPr>
              <w:adjustRightInd w:val="0"/>
              <w:snapToGrid w:val="0"/>
              <w:jc w:val="center"/>
              <w:rPr>
                <w:sz w:val="24"/>
              </w:rPr>
            </w:pPr>
            <w:r>
              <w:rPr>
                <w:sz w:val="24"/>
              </w:rPr>
              <w:t>/</w:t>
            </w:r>
          </w:p>
        </w:tc>
        <w:tc>
          <w:tcPr>
            <w:tcW w:w="1953" w:type="dxa"/>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16" w:type="dxa"/>
            <w:vAlign w:val="center"/>
          </w:tcPr>
          <w:p>
            <w:pPr>
              <w:adjustRightInd w:val="0"/>
              <w:snapToGrid w:val="0"/>
              <w:jc w:val="center"/>
              <w:rPr>
                <w:sz w:val="24"/>
              </w:rPr>
            </w:pPr>
            <w:r>
              <w:rPr>
                <w:sz w:val="24"/>
              </w:rPr>
              <w:t>固体废物</w:t>
            </w:r>
          </w:p>
        </w:tc>
        <w:tc>
          <w:tcPr>
            <w:tcW w:w="7481" w:type="dxa"/>
            <w:gridSpan w:val="4"/>
            <w:vAlign w:val="center"/>
          </w:tcPr>
          <w:p>
            <w:pPr>
              <w:rPr>
                <w:sz w:val="24"/>
              </w:rPr>
            </w:pPr>
            <w:r>
              <w:rPr>
                <w:bCs/>
                <w:sz w:val="24"/>
              </w:rPr>
              <w:t>生活垃圾由垃圾桶分类收集后，定期由</w:t>
            </w:r>
            <w:r>
              <w:rPr>
                <w:sz w:val="24"/>
              </w:rPr>
              <w:t>环卫部门统一清运至垃圾填埋场处置；废油脂专用容器盛放，定期交由有资质单位外运处置；废包装物集中收集后由废旧资源回收部门回收利用；废离子交换树脂定期由更换单位回收处置；废输液瓶统一收集后交由专业单位统一收集处理；医疗废物专用密闭容器收集，暂存于医疗废物暂存间，定期交由有资质单位处置；污泥消毒定期交有资质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416" w:type="dxa"/>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7481" w:type="dxa"/>
            <w:gridSpan w:val="4"/>
            <w:vAlign w:val="center"/>
          </w:tcPr>
          <w:p>
            <w:pPr>
              <w:adjustRightInd w:val="0"/>
              <w:snapToGrid w:val="0"/>
              <w:rPr>
                <w:sz w:val="24"/>
              </w:rPr>
            </w:pPr>
            <w:r>
              <w:rPr>
                <w:bCs/>
                <w:sz w:val="24"/>
              </w:rPr>
              <w:t>地面硬化，</w:t>
            </w:r>
            <w:r>
              <w:rPr>
                <w:sz w:val="24"/>
              </w:rPr>
              <w:t>加强医疗废物暂存间管理、及时处置暂存的医疗废物，定期检查维护污水处理站等防范措施后，不会对项目所在区域土壤和地下水产生影响。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416" w:type="dxa"/>
            <w:vAlign w:val="center"/>
          </w:tcPr>
          <w:p>
            <w:pPr>
              <w:adjustRightInd w:val="0"/>
              <w:snapToGrid w:val="0"/>
              <w:jc w:val="center"/>
              <w:rPr>
                <w:sz w:val="24"/>
              </w:rPr>
            </w:pPr>
            <w:r>
              <w:rPr>
                <w:sz w:val="24"/>
              </w:rPr>
              <w:t>生态保护措施</w:t>
            </w:r>
          </w:p>
        </w:tc>
        <w:tc>
          <w:tcPr>
            <w:tcW w:w="7481" w:type="dxa"/>
            <w:gridSpan w:val="4"/>
            <w:vAlign w:val="center"/>
          </w:tcPr>
          <w:p>
            <w:pPr>
              <w:adjustRightInd w:val="0"/>
              <w:snapToGrid w:val="0"/>
              <w:jc w:val="center"/>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416" w:type="dxa"/>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7481" w:type="dxa"/>
            <w:gridSpan w:val="4"/>
            <w:vAlign w:val="center"/>
          </w:tcPr>
          <w:p>
            <w:pPr>
              <w:adjustRightInd w:val="0"/>
              <w:snapToGrid w:val="0"/>
              <w:rPr>
                <w:sz w:val="24"/>
              </w:rPr>
            </w:pPr>
            <w:r>
              <w:rPr>
                <w:sz w:val="24"/>
              </w:rPr>
              <w:t>制定安全经营方针、政策、计划和各种规范，完善安全管理制度和安全操作规程，建立健全环境管理体系和监测体系，完善各种规章制度标准；定期对库房、危废间进行巡视检查；设置灭火器。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416" w:type="dxa"/>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7481" w:type="dxa"/>
            <w:gridSpan w:val="4"/>
            <w:vAlign w:val="center"/>
          </w:tcPr>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sz w:val="24"/>
                <w:szCs w:val="24"/>
                <w:lang w:eastAsia="zh-CN"/>
              </w:rPr>
            </w:pPr>
            <w:r>
              <w:rPr>
                <w:rFonts w:ascii="Times New Roman" w:hAnsi="Times New Roman"/>
                <w:sz w:val="24"/>
                <w:szCs w:val="24"/>
                <w:lang w:eastAsia="zh-CN"/>
              </w:rPr>
              <w:t>无</w:t>
            </w: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54"/>
              <w:jc w:val="center"/>
              <w:rPr>
                <w:rFonts w:ascii="Times New Roman" w:hAnsi="Times New Roman"/>
                <w:b/>
                <w:sz w:val="24"/>
                <w:szCs w:val="24"/>
                <w:lang w:eastAsia="zh-CN"/>
              </w:rPr>
            </w:pPr>
          </w:p>
          <w:p>
            <w:pPr>
              <w:pStyle w:val="38"/>
              <w:ind w:firstLine="0" w:firstLineChars="0"/>
            </w:pPr>
          </w:p>
        </w:tc>
      </w:tr>
    </w:tbl>
    <w:p>
      <w:pPr>
        <w:pStyle w:val="19"/>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8" w:hRule="atLeast"/>
          <w:jc w:val="center"/>
        </w:trPr>
        <w:tc>
          <w:tcPr>
            <w:tcW w:w="8865" w:type="dxa"/>
          </w:tcPr>
          <w:p>
            <w:pPr>
              <w:spacing w:before="120" w:beforeLines="50" w:line="360" w:lineRule="auto"/>
              <w:ind w:firstLine="480" w:firstLineChars="200"/>
              <w:contextualSpacing/>
              <w:rPr>
                <w:sz w:val="24"/>
              </w:rPr>
            </w:pPr>
            <w:r>
              <w:rPr>
                <w:sz w:val="24"/>
              </w:rPr>
              <w:t>综合上述分析，</w:t>
            </w:r>
            <w:r>
              <w:rPr>
                <w:rFonts w:hint="eastAsia"/>
                <w:sz w:val="24"/>
              </w:rPr>
              <w:t>子洲县人民医院分院基础设施建设项目</w:t>
            </w:r>
            <w:r>
              <w:rPr>
                <w:sz w:val="24"/>
              </w:rPr>
              <w:t>符合国家产业政策及当地相关政策要求。项目在认真落实设计、环评所提的各项污染防治措施的基础上，可以满足达标排放要求。在确保各项污染防治措施正常有效运行的前提下，从环境保护角度考虑，</w:t>
            </w:r>
            <w:r>
              <w:rPr>
                <w:rFonts w:ascii="宋体" w:cs="宋体"/>
                <w:sz w:val="24"/>
              </w:rPr>
              <w:t>建设项目环境影响可行</w:t>
            </w:r>
            <w:r>
              <w:rPr>
                <w:sz w:val="24"/>
              </w:rPr>
              <w:t>。</w:t>
            </w:r>
          </w:p>
          <w:p>
            <w:pPr>
              <w:spacing w:before="120" w:beforeLines="50" w:line="360" w:lineRule="auto"/>
              <w:ind w:firstLine="480" w:firstLineChars="200"/>
              <w:contextualSpacing/>
              <w:rPr>
                <w:sz w:val="24"/>
              </w:rPr>
            </w:pPr>
          </w:p>
        </w:tc>
      </w:tr>
    </w:tbl>
    <w:p>
      <w:pPr>
        <w:sectPr>
          <w:pgSz w:w="11906" w:h="16838"/>
          <w:pgMar w:top="1701" w:right="1531" w:bottom="1701" w:left="1757" w:header="851" w:footer="851" w:gutter="0"/>
          <w:cols w:space="720" w:num="1"/>
          <w:docGrid w:linePitch="312" w:charSpace="0"/>
        </w:sectPr>
      </w:pPr>
    </w:p>
    <w:p>
      <w:pPr>
        <w:pStyle w:val="19"/>
        <w:adjustRightInd w:val="0"/>
        <w:snapToGrid w:val="0"/>
        <w:spacing w:before="0" w:beforeAutospacing="0" w:after="0" w:afterAutospacing="0" w:line="528" w:lineRule="auto"/>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19"/>
        <w:adjustRightInd w:val="0"/>
        <w:snapToGrid w:val="0"/>
        <w:spacing w:before="0" w:beforeAutospacing="0" w:after="0" w:afterAutospacing="0"/>
        <w:jc w:val="center"/>
        <w:outlineLvl w:val="0"/>
        <w:rPr>
          <w:rFonts w:ascii="Times New Roman" w:hAnsi="Times New Roman" w:eastAsia="黑体"/>
          <w:snapToGrid w:val="0"/>
          <w:sz w:val="38"/>
          <w:szCs w:val="38"/>
        </w:rPr>
      </w:pPr>
      <w:r>
        <w:rPr>
          <w:rFonts w:ascii="Times New Roman" w:hAnsi="Times New Roman" w:eastAsia="黑体"/>
          <w:snapToGrid w:val="0"/>
          <w:sz w:val="38"/>
          <w:szCs w:val="38"/>
        </w:rPr>
        <w:t>建设项目污染物排放量汇总表</w:t>
      </w:r>
    </w:p>
    <w:tbl>
      <w:tblPr>
        <w:tblStyle w:val="2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559"/>
        <w:gridCol w:w="1276"/>
        <w:gridCol w:w="1559"/>
        <w:gridCol w:w="1418"/>
        <w:gridCol w:w="1559"/>
        <w:gridCol w:w="1701"/>
        <w:gridCol w:w="1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tcBorders>
              <w:top w:val="single" w:color="auto" w:sz="8" w:space="0"/>
              <w:bottom w:val="single" w:color="auto" w:sz="4" w:space="0"/>
              <w:tl2br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 xml:space="preserve"> </w:t>
            </w:r>
            <w:r>
              <w:rPr>
                <w:rFonts w:ascii="Times New Roman"/>
                <w:snapToGrid w:val="0"/>
                <w:spacing w:val="-6"/>
                <w:kern w:val="21"/>
                <w:szCs w:val="21"/>
              </w:rPr>
              <w:t xml:space="preserve">    项目</w:t>
            </w:r>
          </w:p>
          <w:p>
            <w:pPr>
              <w:pStyle w:val="50"/>
              <w:spacing w:beforeLines="0" w:afterLines="0" w:line="240" w:lineRule="auto"/>
              <w:jc w:val="both"/>
              <w:rPr>
                <w:rFonts w:ascii="Times New Roman"/>
                <w:snapToGrid w:val="0"/>
                <w:spacing w:val="-6"/>
                <w:kern w:val="21"/>
                <w:szCs w:val="21"/>
              </w:rPr>
            </w:pPr>
            <w:r>
              <w:rPr>
                <w:rFonts w:ascii="Times New Roman"/>
                <w:snapToGrid w:val="0"/>
                <w:spacing w:val="-6"/>
                <w:kern w:val="21"/>
                <w:szCs w:val="21"/>
              </w:rPr>
              <w:t>分类</w:t>
            </w:r>
          </w:p>
        </w:tc>
        <w:tc>
          <w:tcPr>
            <w:tcW w:w="1843"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559"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kern w:val="2"/>
                <w:szCs w:val="21"/>
              </w:rPr>
              <w:t>①</w:t>
            </w:r>
            <w:r>
              <w:rPr>
                <w:rFonts w:ascii="Times New Roman"/>
                <w:snapToGrid w:val="0"/>
                <w:spacing w:val="-6"/>
                <w:kern w:val="21"/>
                <w:szCs w:val="21"/>
              </w:rPr>
              <w:fldChar w:fldCharType="end"/>
            </w:r>
          </w:p>
        </w:tc>
        <w:tc>
          <w:tcPr>
            <w:tcW w:w="1276"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50"/>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Times New Roman"/>
                <w:snapToGrid w:val="0"/>
                <w:spacing w:val="-6"/>
                <w:kern w:val="21"/>
                <w:szCs w:val="21"/>
              </w:rPr>
              <w:t>②</w:t>
            </w:r>
            <w:r>
              <w:rPr>
                <w:rFonts w:ascii="Times New Roman"/>
                <w:snapToGrid w:val="0"/>
                <w:spacing w:val="-6"/>
                <w:kern w:val="21"/>
                <w:szCs w:val="21"/>
              </w:rPr>
              <w:fldChar w:fldCharType="end"/>
            </w:r>
          </w:p>
        </w:tc>
        <w:tc>
          <w:tcPr>
            <w:tcW w:w="1559"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kern w:val="2"/>
                <w:szCs w:val="21"/>
              </w:rPr>
              <w:t>③</w:t>
            </w:r>
            <w:r>
              <w:rPr>
                <w:rFonts w:ascii="Times New Roman"/>
                <w:snapToGrid w:val="0"/>
                <w:spacing w:val="-6"/>
                <w:kern w:val="21"/>
                <w:szCs w:val="21"/>
              </w:rPr>
              <w:fldChar w:fldCharType="end"/>
            </w:r>
          </w:p>
        </w:tc>
        <w:tc>
          <w:tcPr>
            <w:tcW w:w="1418"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kern w:val="2"/>
                <w:szCs w:val="21"/>
              </w:rPr>
              <w:t>④</w:t>
            </w:r>
            <w:r>
              <w:rPr>
                <w:rFonts w:ascii="Times New Roman"/>
                <w:snapToGrid w:val="0"/>
                <w:spacing w:val="-6"/>
                <w:kern w:val="21"/>
                <w:szCs w:val="21"/>
              </w:rPr>
              <w:fldChar w:fldCharType="end"/>
            </w:r>
          </w:p>
        </w:tc>
        <w:tc>
          <w:tcPr>
            <w:tcW w:w="1559"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50"/>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kern w:val="2"/>
                <w:szCs w:val="21"/>
              </w:rPr>
              <w:t>⑤</w:t>
            </w:r>
            <w:r>
              <w:rPr>
                <w:rFonts w:ascii="Times New Roman"/>
                <w:snapToGrid w:val="0"/>
                <w:spacing w:val="-16"/>
                <w:kern w:val="21"/>
                <w:szCs w:val="21"/>
              </w:rPr>
              <w:fldChar w:fldCharType="end"/>
            </w:r>
          </w:p>
        </w:tc>
        <w:tc>
          <w:tcPr>
            <w:tcW w:w="1701"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50"/>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kern w:val="2"/>
                <w:szCs w:val="21"/>
              </w:rPr>
              <w:t>⑥</w:t>
            </w:r>
            <w:r>
              <w:rPr>
                <w:rFonts w:ascii="Times New Roman"/>
                <w:snapToGrid w:val="0"/>
                <w:spacing w:val="-16"/>
                <w:kern w:val="21"/>
                <w:szCs w:val="21"/>
              </w:rPr>
              <w:fldChar w:fldCharType="end"/>
            </w:r>
          </w:p>
        </w:tc>
        <w:tc>
          <w:tcPr>
            <w:tcW w:w="1711" w:type="dxa"/>
            <w:tcBorders>
              <w:top w:val="single" w:color="auto" w:sz="8" w:space="0"/>
              <w:bottom w:val="single" w:color="auto" w:sz="4" w:space="0"/>
            </w:tcBorders>
            <w:tcMar>
              <w:left w:w="28" w:type="dxa"/>
              <w:right w:w="28" w:type="dxa"/>
            </w:tcMar>
            <w:vAlign w:val="center"/>
          </w:tcPr>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50"/>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restart"/>
            <w:tcBorders>
              <w:top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废气</w:t>
            </w:r>
          </w:p>
        </w:tc>
        <w:tc>
          <w:tcPr>
            <w:tcW w:w="1843" w:type="dxa"/>
            <w:tcBorders>
              <w:top w:val="single" w:color="auto" w:sz="4" w:space="0"/>
              <w:bottom w:val="single" w:color="auto" w:sz="4" w:space="0"/>
            </w:tcBorders>
            <w:vAlign w:val="center"/>
          </w:tcPr>
          <w:p>
            <w:pPr>
              <w:pStyle w:val="73"/>
              <w:jc w:val="center"/>
            </w:pPr>
            <w:r>
              <w:rPr>
                <w:rFonts w:hint="eastAsia"/>
              </w:rPr>
              <w:t>二氧化硫</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73"/>
              <w:jc w:val="center"/>
            </w:pPr>
            <w:r>
              <w:t>0.0236t/a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73"/>
              <w:jc w:val="center"/>
            </w:pPr>
            <w:r>
              <w:rPr>
                <w:rFonts w:hint="eastAsia"/>
              </w:rPr>
              <w:t>-</w:t>
            </w:r>
          </w:p>
        </w:tc>
        <w:tc>
          <w:tcPr>
            <w:tcW w:w="1711" w:type="dxa"/>
            <w:tcBorders>
              <w:top w:val="single" w:color="auto" w:sz="4" w:space="0"/>
              <w:bottom w:val="single" w:color="auto" w:sz="4" w:space="0"/>
            </w:tcBorders>
            <w:vAlign w:val="center"/>
          </w:tcPr>
          <w:p>
            <w:pPr>
              <w:pStyle w:val="73"/>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73"/>
              <w:jc w:val="center"/>
            </w:pPr>
            <w:r>
              <w:rPr>
                <w:rFonts w:hint="eastAsia"/>
              </w:rPr>
              <w:t>氮氧化物</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73"/>
              <w:jc w:val="center"/>
            </w:pPr>
            <w:r>
              <w:t>0.055t/a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73"/>
              <w:jc w:val="center"/>
            </w:pPr>
            <w:r>
              <w:rPr>
                <w:rFonts w:hint="eastAsia"/>
              </w:rPr>
              <w:t>-</w:t>
            </w:r>
          </w:p>
        </w:tc>
        <w:tc>
          <w:tcPr>
            <w:tcW w:w="1711" w:type="dxa"/>
            <w:tcBorders>
              <w:top w:val="single" w:color="auto" w:sz="4" w:space="0"/>
              <w:bottom w:val="single" w:color="auto" w:sz="4" w:space="0"/>
            </w:tcBorders>
            <w:vAlign w:val="center"/>
          </w:tcPr>
          <w:p>
            <w:pPr>
              <w:pStyle w:val="73"/>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73"/>
              <w:jc w:val="center"/>
            </w:pPr>
            <w:r>
              <w:rPr>
                <w:rFonts w:hint="eastAsia"/>
              </w:rPr>
              <w:t>颗粒物</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p>
        </w:tc>
        <w:tc>
          <w:tcPr>
            <w:tcW w:w="1418" w:type="dxa"/>
            <w:tcBorders>
              <w:top w:val="single" w:color="auto" w:sz="4" w:space="0"/>
              <w:bottom w:val="single" w:color="auto" w:sz="4" w:space="0"/>
            </w:tcBorders>
            <w:vAlign w:val="center"/>
          </w:tcPr>
          <w:p>
            <w:pPr>
              <w:pStyle w:val="73"/>
              <w:jc w:val="center"/>
            </w:pPr>
            <w:r>
              <w:t>0.014t/a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p>
        </w:tc>
        <w:tc>
          <w:tcPr>
            <w:tcW w:w="1701" w:type="dxa"/>
            <w:tcBorders>
              <w:top w:val="single" w:color="auto" w:sz="4" w:space="0"/>
              <w:bottom w:val="single" w:color="auto" w:sz="4" w:space="0"/>
            </w:tcBorders>
            <w:vAlign w:val="center"/>
          </w:tcPr>
          <w:p>
            <w:pPr>
              <w:pStyle w:val="73"/>
              <w:jc w:val="center"/>
            </w:pPr>
            <w:r>
              <w:rPr>
                <w:rFonts w:hint="eastAsia"/>
              </w:rPr>
              <w:t>-</w:t>
            </w:r>
          </w:p>
        </w:tc>
        <w:tc>
          <w:tcPr>
            <w:tcW w:w="1711" w:type="dxa"/>
            <w:tcBorders>
              <w:top w:val="single" w:color="auto" w:sz="4" w:space="0"/>
              <w:bottom w:val="single" w:color="auto" w:sz="4" w:space="0"/>
            </w:tcBorders>
            <w:vAlign w:val="center"/>
          </w:tcPr>
          <w:p>
            <w:pPr>
              <w:pStyle w:val="73"/>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73"/>
              <w:jc w:val="center"/>
            </w:pPr>
            <w:r>
              <w:rPr>
                <w:rFonts w:hint="eastAsia"/>
              </w:rPr>
              <w:t>氨气</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snapToGrid w:val="0"/>
              <w:jc w:val="center"/>
              <w:rPr>
                <w:spacing w:val="-23"/>
                <w:szCs w:val="21"/>
              </w:rPr>
            </w:pPr>
            <w:r>
              <w:rPr>
                <w:spacing w:val="-6"/>
                <w:szCs w:val="21"/>
              </w:rPr>
              <w:t>0.93</w:t>
            </w:r>
            <w:r>
              <w:rPr>
                <w:bCs/>
                <w:snapToGrid w:val="0"/>
                <w:spacing w:val="-10"/>
                <w:szCs w:val="21"/>
              </w:rPr>
              <w:t xml:space="preserve"> kg/a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snapToGrid w:val="0"/>
              <w:jc w:val="center"/>
              <w:rPr>
                <w:spacing w:val="-23"/>
                <w:szCs w:val="21"/>
              </w:rPr>
            </w:pPr>
            <w:r>
              <w:rPr>
                <w:rFonts w:hint="eastAsia"/>
              </w:rPr>
              <w:t>-</w:t>
            </w:r>
          </w:p>
        </w:tc>
        <w:tc>
          <w:tcPr>
            <w:tcW w:w="1711" w:type="dxa"/>
            <w:tcBorders>
              <w:top w:val="single" w:color="auto" w:sz="4" w:space="0"/>
              <w:bottom w:val="single" w:color="auto" w:sz="4" w:space="0"/>
            </w:tcBorders>
            <w:vAlign w:val="center"/>
          </w:tcPr>
          <w:p>
            <w:pPr>
              <w:snapToGrid w:val="0"/>
              <w:jc w:val="center"/>
              <w:rPr>
                <w:spacing w:val="-23"/>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73"/>
              <w:jc w:val="center"/>
            </w:pPr>
            <w:r>
              <w:rPr>
                <w:rFonts w:hint="eastAsia"/>
              </w:rPr>
              <w:t>硫化氢</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snapToGrid w:val="0"/>
              <w:jc w:val="center"/>
              <w:rPr>
                <w:spacing w:val="-6"/>
                <w:szCs w:val="21"/>
              </w:rPr>
            </w:pPr>
            <w:r>
              <w:rPr>
                <w:spacing w:val="-11"/>
                <w:szCs w:val="21"/>
              </w:rPr>
              <w:t>0.005</w:t>
            </w:r>
            <w:r>
              <w:rPr>
                <w:bCs/>
                <w:snapToGrid w:val="0"/>
                <w:spacing w:val="-10"/>
                <w:szCs w:val="21"/>
              </w:rPr>
              <w:t>kg/a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snapToGrid w:val="0"/>
              <w:jc w:val="center"/>
              <w:rPr>
                <w:spacing w:val="-6"/>
                <w:szCs w:val="21"/>
              </w:rPr>
            </w:pPr>
            <w:r>
              <w:rPr>
                <w:rFonts w:hint="eastAsia"/>
              </w:rPr>
              <w:t>-</w:t>
            </w:r>
          </w:p>
        </w:tc>
        <w:tc>
          <w:tcPr>
            <w:tcW w:w="1711" w:type="dxa"/>
            <w:tcBorders>
              <w:top w:val="single" w:color="auto" w:sz="4" w:space="0"/>
              <w:bottom w:val="single" w:color="auto" w:sz="4" w:space="0"/>
            </w:tcBorders>
            <w:vAlign w:val="center"/>
          </w:tcPr>
          <w:p>
            <w:pPr>
              <w:snapToGrid w:val="0"/>
              <w:jc w:val="center"/>
              <w:rPr>
                <w:spacing w:val="-6"/>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废水</w:t>
            </w: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ascii="Times New Roman"/>
                <w:snapToGrid w:val="0"/>
                <w:kern w:val="21"/>
                <w:szCs w:val="21"/>
              </w:rPr>
              <w:t>医疗废水</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16770.49t/a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rPr>
              <w:t>-</w:t>
            </w:r>
          </w:p>
        </w:tc>
        <w:tc>
          <w:tcPr>
            <w:tcW w:w="1711"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restart"/>
            <w:tcBorders>
              <w:top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一般工业</w:t>
            </w:r>
          </w:p>
          <w:p>
            <w:pPr>
              <w:pStyle w:val="50"/>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生活垃圾</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bCs/>
                <w:snapToGrid w:val="0"/>
                <w:kern w:val="21"/>
                <w:szCs w:val="21"/>
              </w:rPr>
              <w:t>93.81</w:t>
            </w:r>
            <w:r>
              <w:rPr>
                <w:rFonts w:ascii="Times New Roman"/>
                <w:szCs w:val="21"/>
              </w:rPr>
              <w:t>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rPr>
              <w:t>-</w:t>
            </w:r>
          </w:p>
        </w:tc>
        <w:tc>
          <w:tcPr>
            <w:tcW w:w="1711"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ascii="Times New Roman"/>
                <w:snapToGrid w:val="0"/>
                <w:kern w:val="21"/>
                <w:szCs w:val="21"/>
              </w:rPr>
              <w:t>废油脂</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ascii="Times New Roman"/>
                <w:szCs w:val="21"/>
              </w:rPr>
              <w:t>0.49t/a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hint="eastAsia"/>
              </w:rPr>
              <w:t>-</w:t>
            </w:r>
          </w:p>
        </w:tc>
        <w:tc>
          <w:tcPr>
            <w:tcW w:w="1711"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50"/>
              <w:spacing w:beforeLines="0" w:afterLines="0" w:line="240" w:lineRule="auto"/>
              <w:rPr>
                <w:szCs w:val="21"/>
              </w:rPr>
            </w:pPr>
            <w:r>
              <w:rPr>
                <w:rFonts w:hint="eastAsia"/>
                <w:szCs w:val="21"/>
              </w:rPr>
              <w:t>废包装物</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ascii="Times New Roman"/>
                <w:szCs w:val="21"/>
              </w:rPr>
              <w:t>0.55t/a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pStyle w:val="50"/>
              <w:spacing w:beforeLines="0" w:afterLines="0" w:line="240" w:lineRule="auto"/>
            </w:pPr>
            <w:r>
              <w:rPr>
                <w:rFonts w:hint="eastAsia"/>
              </w:rPr>
              <w:t>-</w:t>
            </w:r>
          </w:p>
        </w:tc>
        <w:tc>
          <w:tcPr>
            <w:tcW w:w="1711" w:type="dxa"/>
            <w:tcBorders>
              <w:top w:val="single" w:color="auto" w:sz="4" w:space="0"/>
              <w:bottom w:val="single" w:color="auto" w:sz="4" w:space="0"/>
            </w:tcBorders>
            <w:vAlign w:val="center"/>
          </w:tcPr>
          <w:p>
            <w:pPr>
              <w:pStyle w:val="50"/>
              <w:spacing w:beforeLines="0" w:afterLines="0" w:line="240" w:lineRule="auto"/>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szCs w:val="21"/>
              </w:rPr>
              <w:t>废离子交换树脂</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ascii="Times New Roman"/>
                <w:szCs w:val="21"/>
              </w:rPr>
              <w:t>0.8 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hint="eastAsia"/>
              </w:rPr>
              <w:t>-</w:t>
            </w:r>
          </w:p>
        </w:tc>
        <w:tc>
          <w:tcPr>
            <w:tcW w:w="1711" w:type="dxa"/>
            <w:tcBorders>
              <w:top w:val="single" w:color="auto" w:sz="4" w:space="0"/>
              <w:bottom w:val="single" w:color="auto" w:sz="4" w:space="0"/>
            </w:tcBorders>
            <w:vAlign w:val="center"/>
          </w:tcPr>
          <w:p>
            <w:pPr>
              <w:pStyle w:val="50"/>
              <w:spacing w:beforeLines="0" w:afterLines="0" w:line="240" w:lineRule="auto"/>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50"/>
              <w:spacing w:beforeLines="0" w:afterLines="0" w:line="240" w:lineRule="auto"/>
              <w:rPr>
                <w:szCs w:val="21"/>
              </w:rPr>
            </w:pPr>
            <w:r>
              <w:rPr>
                <w:rFonts w:hint="eastAsia"/>
                <w:szCs w:val="21"/>
              </w:rPr>
              <w:t>废输液瓶</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r>
              <w:rPr>
                <w:rFonts w:hint="eastAsia" w:ascii="Times New Roman"/>
                <w:szCs w:val="21"/>
              </w:rPr>
              <w:t>0</w:t>
            </w:r>
            <w:r>
              <w:rPr>
                <w:rFonts w:ascii="Times New Roman"/>
                <w:szCs w:val="21"/>
              </w:rPr>
              <w:t>.07</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p>
        </w:tc>
        <w:tc>
          <w:tcPr>
            <w:tcW w:w="1701"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p>
        </w:tc>
        <w:tc>
          <w:tcPr>
            <w:tcW w:w="1711" w:type="dxa"/>
            <w:tcBorders>
              <w:top w:val="single" w:color="auto" w:sz="4" w:space="0"/>
              <w:bottom w:val="single" w:color="auto" w:sz="4" w:space="0"/>
            </w:tcBorders>
            <w:vAlign w:val="center"/>
          </w:tcPr>
          <w:p>
            <w:pPr>
              <w:pStyle w:val="50"/>
              <w:spacing w:beforeLines="0" w:afterLines="0" w:line="240" w:lineRule="auto"/>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restart"/>
            <w:tcBorders>
              <w:top w:val="single" w:color="auto" w:sz="4" w:space="0"/>
            </w:tcBorders>
            <w:vAlign w:val="center"/>
          </w:tcPr>
          <w:p>
            <w:pPr>
              <w:pStyle w:val="50"/>
              <w:spacing w:before="24" w:after="24" w:line="240" w:lineRule="auto"/>
              <w:rPr>
                <w:rFonts w:ascii="Times New Roman"/>
                <w:snapToGrid w:val="0"/>
                <w:kern w:val="21"/>
                <w:szCs w:val="21"/>
              </w:rPr>
            </w:pPr>
            <w:r>
              <w:rPr>
                <w:rFonts w:ascii="Times New Roman"/>
                <w:snapToGrid w:val="0"/>
                <w:kern w:val="21"/>
                <w:szCs w:val="21"/>
              </w:rPr>
              <w:t>危险废物</w:t>
            </w: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ascii="Times New Roman"/>
                <w:snapToGrid w:val="0"/>
                <w:kern w:val="21"/>
                <w:szCs w:val="21"/>
              </w:rPr>
              <w:t>医疗废物</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snapToGrid w:val="0"/>
              <w:jc w:val="center"/>
              <w:rPr>
                <w:snapToGrid w:val="0"/>
                <w:kern w:val="21"/>
                <w:szCs w:val="21"/>
              </w:rPr>
            </w:pPr>
            <w:r>
              <w:rPr>
                <w:szCs w:val="21"/>
              </w:rPr>
              <w:t>40.88t/a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snapToGrid w:val="0"/>
              <w:jc w:val="center"/>
              <w:rPr>
                <w:snapToGrid w:val="0"/>
                <w:kern w:val="21"/>
                <w:szCs w:val="21"/>
              </w:rPr>
            </w:pPr>
            <w:r>
              <w:rPr>
                <w:rFonts w:hint="eastAsia"/>
              </w:rPr>
              <w:t>-</w:t>
            </w:r>
          </w:p>
        </w:tc>
        <w:tc>
          <w:tcPr>
            <w:tcW w:w="1711" w:type="dxa"/>
            <w:tcBorders>
              <w:top w:val="single" w:color="auto" w:sz="4" w:space="0"/>
              <w:bottom w:val="single" w:color="auto" w:sz="4" w:space="0"/>
            </w:tcBorders>
            <w:vAlign w:val="center"/>
          </w:tcPr>
          <w:p>
            <w:pPr>
              <w:snapToGrid w:val="0"/>
              <w:jc w:val="center"/>
              <w:rPr>
                <w:snapToGrid w:val="0"/>
                <w:kern w:val="21"/>
                <w:szCs w:val="21"/>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vAlign w:val="center"/>
          </w:tcPr>
          <w:p>
            <w:pPr>
              <w:pStyle w:val="50"/>
              <w:spacing w:beforeLines="0" w:afterLines="0" w:line="240" w:lineRule="auto"/>
              <w:rPr>
                <w:rFonts w:ascii="Times New Roman"/>
                <w:snapToGrid w:val="0"/>
                <w:kern w:val="21"/>
                <w:szCs w:val="21"/>
              </w:rPr>
            </w:pPr>
          </w:p>
        </w:tc>
        <w:tc>
          <w:tcPr>
            <w:tcW w:w="1843"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hint="eastAsia" w:ascii="Times New Roman"/>
                <w:snapToGrid w:val="0"/>
                <w:kern w:val="21"/>
                <w:szCs w:val="21"/>
              </w:rPr>
              <w:t>污泥</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418" w:type="dxa"/>
            <w:tcBorders>
              <w:top w:val="single" w:color="auto" w:sz="4" w:space="0"/>
              <w:bottom w:val="single" w:color="auto" w:sz="4" w:space="0"/>
            </w:tcBorders>
            <w:vAlign w:val="center"/>
          </w:tcPr>
          <w:p>
            <w:pPr>
              <w:snapToGrid w:val="0"/>
              <w:jc w:val="center"/>
            </w:pPr>
            <w:r>
              <w:rPr>
                <w:snapToGrid w:val="0"/>
                <w:kern w:val="21"/>
                <w:szCs w:val="21"/>
              </w:rPr>
              <w:t>1.1t/a</w:t>
            </w:r>
          </w:p>
        </w:tc>
        <w:tc>
          <w:tcPr>
            <w:tcW w:w="1559" w:type="dxa"/>
            <w:tcBorders>
              <w:top w:val="single" w:color="auto" w:sz="4" w:space="0"/>
              <w:bottom w:val="single" w:color="auto" w:sz="4" w:space="0"/>
            </w:tcBorders>
            <w:vAlign w:val="center"/>
          </w:tcPr>
          <w:p>
            <w:pPr>
              <w:pStyle w:val="5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tcBorders>
              <w:top w:val="single" w:color="auto" w:sz="4" w:space="0"/>
              <w:bottom w:val="single" w:color="auto" w:sz="4" w:space="0"/>
            </w:tcBorders>
            <w:vAlign w:val="center"/>
          </w:tcPr>
          <w:p>
            <w:pPr>
              <w:snapToGrid w:val="0"/>
              <w:jc w:val="center"/>
            </w:pPr>
            <w:r>
              <w:rPr>
                <w:rFonts w:hint="eastAsia"/>
              </w:rPr>
              <w:t>-</w:t>
            </w:r>
          </w:p>
        </w:tc>
        <w:tc>
          <w:tcPr>
            <w:tcW w:w="1711" w:type="dxa"/>
            <w:tcBorders>
              <w:top w:val="single" w:color="auto" w:sz="4" w:space="0"/>
              <w:bottom w:val="single" w:color="auto" w:sz="4" w:space="0"/>
            </w:tcBorders>
            <w:vAlign w:val="center"/>
          </w:tcPr>
          <w:p>
            <w:pPr>
              <w:snapToGrid w:val="0"/>
              <w:jc w:val="center"/>
            </w:pPr>
            <w:r>
              <w:rPr>
                <w:rFonts w:hint="eastAsia"/>
              </w:rPr>
              <w:t>-</w:t>
            </w:r>
          </w:p>
        </w:tc>
      </w:tr>
    </w:tbl>
    <w:p>
      <w:pPr>
        <w:pStyle w:val="50"/>
        <w:spacing w:before="192" w:beforeLines="80" w:after="24"/>
        <w:jc w:val="left"/>
        <w:rPr>
          <w:rFonts w:ascii="Times New Roman" w:eastAsia="黑体"/>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6" w:type="default"/>
      <w:pgSz w:w="16838" w:h="11906" w:orient="landscape"/>
      <w:pgMar w:top="1531" w:right="1701" w:bottom="1531" w:left="1701"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Plotter">
    <w:altName w:val="Tahoma"/>
    <w:panose1 w:val="00000000000000000000"/>
    <w:charset w:val="00"/>
    <w:family w:val="roman"/>
    <w:pitch w:val="default"/>
    <w:sig w:usb0="00000000" w:usb1="00000000" w:usb2="8160B000" w:usb3="00000000" w:csb0="8163D054" w:csb1="BFF7D17E"/>
  </w:font>
  <w:font w:name="幼圆">
    <w:altName w:val="宋体"/>
    <w:panose1 w:val="0201050906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Gloucester MT Extra Condensed">
    <w:altName w:val="MT Extra"/>
    <w:panose1 w:val="02030808020601010101"/>
    <w:charset w:val="00"/>
    <w:family w:val="roman"/>
    <w:pitch w:val="default"/>
    <w:sig w:usb0="00000000" w:usb1="00000000" w:usb2="00000000" w:usb3="00000000" w:csb0="00000001" w:csb1="00000000"/>
  </w:font>
  <w:font w:name="TT13o00">
    <w:altName w:val="Times New Roman"/>
    <w:panose1 w:val="00000000000000000000"/>
    <w:charset w:val="00"/>
    <w:family w:val="roman"/>
    <w:pitch w:val="default"/>
    <w:sig w:usb0="00000000" w:usb1="00000000" w:usb2="00000000" w:usb3="00000000" w:csb0="00040001" w:csb1="00000000"/>
  </w:font>
  <w:font w:name="TT13o03">
    <w:altName w:val="Times New Roman"/>
    <w:panose1 w:val="00000000000000000000"/>
    <w:charset w:val="00"/>
    <w:family w:val="roman"/>
    <w:pitch w:val="default"/>
    <w:sig w:usb0="00000000" w:usb1="00000000" w:usb2="00000000" w:usb3="00000000" w:csb0="00040001" w:csb1="00000000"/>
  </w:font>
  <w:font w:name="TT13o01">
    <w:altName w:val="Times New Roman"/>
    <w:panose1 w:val="00000000000000000000"/>
    <w:charset w:val="00"/>
    <w:family w:val="roman"/>
    <w:pitch w:val="default"/>
    <w:sig w:usb0="00000000" w:usb1="00000000" w:usb2="00000000" w:usb3="00000000" w:csb0="00040001" w:csb1="00000000"/>
  </w:font>
  <w:font w:name="TT13o02">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TimesNewRomanPSMT">
    <w:altName w:val="微软雅黑"/>
    <w:panose1 w:val="00000000000000000000"/>
    <w:charset w:val="00"/>
    <w:family w:val="roman"/>
    <w:pitch w:val="default"/>
    <w:sig w:usb0="00000000" w:usb1="00000000" w:usb2="00000010" w:usb3="00000000" w:csb0="00020001" w:csb1="00000000"/>
  </w:font>
  <w:font w:name="Cambria Math">
    <w:panose1 w:val="02040503050406030204"/>
    <w:charset w:val="00"/>
    <w:family w:val="roman"/>
    <w:pitch w:val="default"/>
    <w:sig w:usb0="E00006FF" w:usb1="420024FF" w:usb2="02000000" w:usb3="00000000" w:csb0="2000019F" w:csb1="00000000"/>
  </w:font>
  <w:font w:name="MT Extra">
    <w:panose1 w:val="05050102010205020202"/>
    <w:charset w:val="00"/>
    <w:family w:val="auto"/>
    <w:pitch w:val="default"/>
    <w:sig w:usb0="8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fldChar w:fldCharType="begin"/>
    </w:r>
    <w:r>
      <w:rPr>
        <w:rStyle w:val="24"/>
      </w:rPr>
      <w:instrText xml:space="preserve">PAGE  </w:instrText>
    </w:r>
    <w:r>
      <w:fldChar w:fldCharType="separate"/>
    </w:r>
    <w:r>
      <w:rPr>
        <w:rStyle w:val="24"/>
      </w:rPr>
      <w:t>3</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4"/>
        <w:rFonts w:ascii="宋体" w:hAnsi="宋体"/>
        <w:sz w:val="28"/>
        <w:szCs w:val="28"/>
      </w:rPr>
    </w:pPr>
    <w:r>
      <w:rPr>
        <w:rStyle w:val="24"/>
        <w:rFonts w:hint="eastAsia" w:ascii="宋体" w:hAnsi="宋体"/>
        <w:sz w:val="28"/>
        <w:szCs w:val="28"/>
      </w:rPr>
      <w:t>—</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55</w:t>
    </w:r>
    <w:r>
      <w:rPr>
        <w:rFonts w:ascii="宋体" w:hAnsi="宋体"/>
        <w:sz w:val="26"/>
        <w:szCs w:val="26"/>
      </w:rPr>
      <w:fldChar w:fldCharType="end"/>
    </w:r>
    <w:r>
      <w:rPr>
        <w:rStyle w:val="24"/>
        <w:rFonts w:hint="eastAsia" w:ascii="宋体" w:hAnsi="宋体"/>
        <w:sz w:val="28"/>
        <w:szCs w:val="28"/>
      </w:rPr>
      <w:t>—</w:t>
    </w:r>
  </w:p>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4"/>
        <w:rFonts w:ascii="宋体" w:hAnsi="宋体"/>
        <w:sz w:val="28"/>
        <w:szCs w:val="28"/>
      </w:rPr>
    </w:pPr>
    <w:r>
      <w:rPr>
        <w:rStyle w:val="24"/>
        <w:rFonts w:hint="eastAsia" w:ascii="宋体" w:hAnsi="宋体"/>
        <w:sz w:val="28"/>
        <w:szCs w:val="28"/>
      </w:rPr>
      <w:t>—</w:t>
    </w:r>
    <w:r>
      <w:rPr>
        <w:sz w:val="24"/>
        <w:szCs w:val="24"/>
      </w:rPr>
      <w:fldChar w:fldCharType="begin"/>
    </w:r>
    <w:r>
      <w:rPr>
        <w:rStyle w:val="24"/>
        <w:sz w:val="24"/>
        <w:szCs w:val="24"/>
      </w:rPr>
      <w:instrText xml:space="preserve">PAGE  </w:instrText>
    </w:r>
    <w:r>
      <w:rPr>
        <w:sz w:val="24"/>
        <w:szCs w:val="24"/>
      </w:rPr>
      <w:fldChar w:fldCharType="separate"/>
    </w:r>
    <w:r>
      <w:rPr>
        <w:rStyle w:val="24"/>
        <w:sz w:val="24"/>
        <w:szCs w:val="24"/>
      </w:rPr>
      <w:t>56</w:t>
    </w:r>
    <w:r>
      <w:rPr>
        <w:sz w:val="24"/>
        <w:szCs w:val="24"/>
      </w:rPr>
      <w:fldChar w:fldCharType="end"/>
    </w:r>
    <w:r>
      <w:rPr>
        <w:rStyle w:val="24"/>
        <w:rFonts w:hint="eastAsia" w:ascii="宋体" w:hAnsi="宋体"/>
        <w:sz w:val="28"/>
        <w:szCs w:val="28"/>
      </w:rPr>
      <w:t>—</w:t>
    </w:r>
  </w:p>
  <w:p>
    <w:pPr>
      <w:pStyle w:val="16"/>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wOWE0MDMyN2NjNjcwODRhMTVhNjg5NWNiMjQ2NzIifQ=="/>
  </w:docVars>
  <w:rsids>
    <w:rsidRoot w:val="00172A27"/>
    <w:rsid w:val="000060B3"/>
    <w:rsid w:val="0001235F"/>
    <w:rsid w:val="0001244A"/>
    <w:rsid w:val="00024C4F"/>
    <w:rsid w:val="0002696D"/>
    <w:rsid w:val="00031368"/>
    <w:rsid w:val="000419AD"/>
    <w:rsid w:val="0004364B"/>
    <w:rsid w:val="000444E0"/>
    <w:rsid w:val="000467AA"/>
    <w:rsid w:val="0004763F"/>
    <w:rsid w:val="00053BE8"/>
    <w:rsid w:val="000540BE"/>
    <w:rsid w:val="00055121"/>
    <w:rsid w:val="00057F1B"/>
    <w:rsid w:val="00061B1F"/>
    <w:rsid w:val="000645C0"/>
    <w:rsid w:val="00067C43"/>
    <w:rsid w:val="00067D9B"/>
    <w:rsid w:val="000733C4"/>
    <w:rsid w:val="00074783"/>
    <w:rsid w:val="00076B18"/>
    <w:rsid w:val="00077100"/>
    <w:rsid w:val="0008070B"/>
    <w:rsid w:val="000810AC"/>
    <w:rsid w:val="00081A02"/>
    <w:rsid w:val="00082231"/>
    <w:rsid w:val="00082E6A"/>
    <w:rsid w:val="00092D38"/>
    <w:rsid w:val="0009377B"/>
    <w:rsid w:val="00097030"/>
    <w:rsid w:val="000A20C9"/>
    <w:rsid w:val="000A61CC"/>
    <w:rsid w:val="000B058F"/>
    <w:rsid w:val="000B2C87"/>
    <w:rsid w:val="000B3BC8"/>
    <w:rsid w:val="000B4467"/>
    <w:rsid w:val="000B4B24"/>
    <w:rsid w:val="000B4DB9"/>
    <w:rsid w:val="000B5954"/>
    <w:rsid w:val="000B6818"/>
    <w:rsid w:val="000B6A15"/>
    <w:rsid w:val="000C09AC"/>
    <w:rsid w:val="000C0E1C"/>
    <w:rsid w:val="000C4328"/>
    <w:rsid w:val="000C570E"/>
    <w:rsid w:val="000C6C6D"/>
    <w:rsid w:val="000C767F"/>
    <w:rsid w:val="000C7DB0"/>
    <w:rsid w:val="000D0DB3"/>
    <w:rsid w:val="000D1E05"/>
    <w:rsid w:val="000D5341"/>
    <w:rsid w:val="000D5577"/>
    <w:rsid w:val="000D5A44"/>
    <w:rsid w:val="000D5A6F"/>
    <w:rsid w:val="000E1F21"/>
    <w:rsid w:val="000E3ED2"/>
    <w:rsid w:val="000E451C"/>
    <w:rsid w:val="000F09D2"/>
    <w:rsid w:val="000F248A"/>
    <w:rsid w:val="000F282D"/>
    <w:rsid w:val="000F44A0"/>
    <w:rsid w:val="00101FC2"/>
    <w:rsid w:val="0010233A"/>
    <w:rsid w:val="0010608A"/>
    <w:rsid w:val="001065AA"/>
    <w:rsid w:val="00106C44"/>
    <w:rsid w:val="00106F30"/>
    <w:rsid w:val="001118FA"/>
    <w:rsid w:val="00111F61"/>
    <w:rsid w:val="001124F9"/>
    <w:rsid w:val="00113C53"/>
    <w:rsid w:val="00120809"/>
    <w:rsid w:val="00124FC6"/>
    <w:rsid w:val="00130E30"/>
    <w:rsid w:val="00131F42"/>
    <w:rsid w:val="001333B4"/>
    <w:rsid w:val="001357F1"/>
    <w:rsid w:val="00137287"/>
    <w:rsid w:val="001404C8"/>
    <w:rsid w:val="00140FA8"/>
    <w:rsid w:val="00142FEB"/>
    <w:rsid w:val="00143A2D"/>
    <w:rsid w:val="00144FB1"/>
    <w:rsid w:val="00145A41"/>
    <w:rsid w:val="00151675"/>
    <w:rsid w:val="00157435"/>
    <w:rsid w:val="001579D1"/>
    <w:rsid w:val="00164501"/>
    <w:rsid w:val="00164A74"/>
    <w:rsid w:val="00164E5A"/>
    <w:rsid w:val="001671AC"/>
    <w:rsid w:val="00171998"/>
    <w:rsid w:val="00172A27"/>
    <w:rsid w:val="0017504D"/>
    <w:rsid w:val="0017671A"/>
    <w:rsid w:val="00177422"/>
    <w:rsid w:val="00180A80"/>
    <w:rsid w:val="00182C03"/>
    <w:rsid w:val="001841F0"/>
    <w:rsid w:val="00184590"/>
    <w:rsid w:val="001870D1"/>
    <w:rsid w:val="0018781E"/>
    <w:rsid w:val="001904CC"/>
    <w:rsid w:val="0019262D"/>
    <w:rsid w:val="00197074"/>
    <w:rsid w:val="00197087"/>
    <w:rsid w:val="001A1529"/>
    <w:rsid w:val="001A1769"/>
    <w:rsid w:val="001A1B35"/>
    <w:rsid w:val="001A44FA"/>
    <w:rsid w:val="001A48A2"/>
    <w:rsid w:val="001A6212"/>
    <w:rsid w:val="001A69A8"/>
    <w:rsid w:val="001A6F61"/>
    <w:rsid w:val="001A761B"/>
    <w:rsid w:val="001B355A"/>
    <w:rsid w:val="001B72B8"/>
    <w:rsid w:val="001C1367"/>
    <w:rsid w:val="001C1530"/>
    <w:rsid w:val="001C5EFC"/>
    <w:rsid w:val="001C69B3"/>
    <w:rsid w:val="001D213A"/>
    <w:rsid w:val="001D407C"/>
    <w:rsid w:val="001D5595"/>
    <w:rsid w:val="001D7615"/>
    <w:rsid w:val="001D7874"/>
    <w:rsid w:val="001D7F22"/>
    <w:rsid w:val="001E24BF"/>
    <w:rsid w:val="001E7109"/>
    <w:rsid w:val="001E7C4F"/>
    <w:rsid w:val="001F0D6C"/>
    <w:rsid w:val="001F0F17"/>
    <w:rsid w:val="001F3347"/>
    <w:rsid w:val="001F69E4"/>
    <w:rsid w:val="00200C9B"/>
    <w:rsid w:val="002016B6"/>
    <w:rsid w:val="0020444B"/>
    <w:rsid w:val="00206C64"/>
    <w:rsid w:val="00211324"/>
    <w:rsid w:val="002125B4"/>
    <w:rsid w:val="002155B8"/>
    <w:rsid w:val="00224137"/>
    <w:rsid w:val="00224839"/>
    <w:rsid w:val="002249B2"/>
    <w:rsid w:val="00226574"/>
    <w:rsid w:val="002278EC"/>
    <w:rsid w:val="0023280E"/>
    <w:rsid w:val="002361CD"/>
    <w:rsid w:val="002377D1"/>
    <w:rsid w:val="002427F1"/>
    <w:rsid w:val="00244A64"/>
    <w:rsid w:val="00245000"/>
    <w:rsid w:val="002506BC"/>
    <w:rsid w:val="002519E2"/>
    <w:rsid w:val="00252B0F"/>
    <w:rsid w:val="00253D07"/>
    <w:rsid w:val="00254345"/>
    <w:rsid w:val="00254D56"/>
    <w:rsid w:val="00255943"/>
    <w:rsid w:val="00261477"/>
    <w:rsid w:val="00261EB4"/>
    <w:rsid w:val="002621B3"/>
    <w:rsid w:val="00264557"/>
    <w:rsid w:val="00265CF3"/>
    <w:rsid w:val="0026669F"/>
    <w:rsid w:val="00267A7A"/>
    <w:rsid w:val="00267C26"/>
    <w:rsid w:val="00271082"/>
    <w:rsid w:val="00272132"/>
    <w:rsid w:val="002723AC"/>
    <w:rsid w:val="002732DC"/>
    <w:rsid w:val="00273FF4"/>
    <w:rsid w:val="002746A3"/>
    <w:rsid w:val="00276891"/>
    <w:rsid w:val="002805AB"/>
    <w:rsid w:val="00282837"/>
    <w:rsid w:val="00284204"/>
    <w:rsid w:val="00284891"/>
    <w:rsid w:val="00290D51"/>
    <w:rsid w:val="00291773"/>
    <w:rsid w:val="00291B68"/>
    <w:rsid w:val="00297003"/>
    <w:rsid w:val="00297F3D"/>
    <w:rsid w:val="002A12D4"/>
    <w:rsid w:val="002A168C"/>
    <w:rsid w:val="002A2879"/>
    <w:rsid w:val="002A3DC7"/>
    <w:rsid w:val="002B49E2"/>
    <w:rsid w:val="002B4CC0"/>
    <w:rsid w:val="002B7B00"/>
    <w:rsid w:val="002B7C44"/>
    <w:rsid w:val="002C0791"/>
    <w:rsid w:val="002C2B17"/>
    <w:rsid w:val="002C307D"/>
    <w:rsid w:val="002C57B2"/>
    <w:rsid w:val="002C6324"/>
    <w:rsid w:val="002C73A4"/>
    <w:rsid w:val="002D0605"/>
    <w:rsid w:val="002D3BDA"/>
    <w:rsid w:val="002D3C43"/>
    <w:rsid w:val="002D3DD0"/>
    <w:rsid w:val="002D4B93"/>
    <w:rsid w:val="002D5EC1"/>
    <w:rsid w:val="002E1A98"/>
    <w:rsid w:val="002E1F3A"/>
    <w:rsid w:val="002E298A"/>
    <w:rsid w:val="002E3633"/>
    <w:rsid w:val="002E575D"/>
    <w:rsid w:val="002F3273"/>
    <w:rsid w:val="00300817"/>
    <w:rsid w:val="00301978"/>
    <w:rsid w:val="00302A59"/>
    <w:rsid w:val="00302DBA"/>
    <w:rsid w:val="0030332C"/>
    <w:rsid w:val="003038B3"/>
    <w:rsid w:val="003051C2"/>
    <w:rsid w:val="0030532B"/>
    <w:rsid w:val="0030567B"/>
    <w:rsid w:val="0030696B"/>
    <w:rsid w:val="00312296"/>
    <w:rsid w:val="00313E9F"/>
    <w:rsid w:val="00314808"/>
    <w:rsid w:val="00314F0E"/>
    <w:rsid w:val="00315749"/>
    <w:rsid w:val="00315CF3"/>
    <w:rsid w:val="0031674D"/>
    <w:rsid w:val="00321D8E"/>
    <w:rsid w:val="00325928"/>
    <w:rsid w:val="00332863"/>
    <w:rsid w:val="0033684D"/>
    <w:rsid w:val="00337B42"/>
    <w:rsid w:val="0034141B"/>
    <w:rsid w:val="00341B42"/>
    <w:rsid w:val="0034348F"/>
    <w:rsid w:val="0034618B"/>
    <w:rsid w:val="00351819"/>
    <w:rsid w:val="00354E3B"/>
    <w:rsid w:val="00356653"/>
    <w:rsid w:val="003570BA"/>
    <w:rsid w:val="0035743F"/>
    <w:rsid w:val="00357BE2"/>
    <w:rsid w:val="0036170C"/>
    <w:rsid w:val="00361ADA"/>
    <w:rsid w:val="00364D73"/>
    <w:rsid w:val="00364FB7"/>
    <w:rsid w:val="00366E0F"/>
    <w:rsid w:val="00371FDB"/>
    <w:rsid w:val="00373225"/>
    <w:rsid w:val="00374177"/>
    <w:rsid w:val="003747C0"/>
    <w:rsid w:val="00377076"/>
    <w:rsid w:val="00381A72"/>
    <w:rsid w:val="00384676"/>
    <w:rsid w:val="00385D05"/>
    <w:rsid w:val="00387935"/>
    <w:rsid w:val="00390857"/>
    <w:rsid w:val="0039403C"/>
    <w:rsid w:val="003A05EE"/>
    <w:rsid w:val="003A236B"/>
    <w:rsid w:val="003A24EE"/>
    <w:rsid w:val="003A4432"/>
    <w:rsid w:val="003A4BF3"/>
    <w:rsid w:val="003A7830"/>
    <w:rsid w:val="003A79F8"/>
    <w:rsid w:val="003B1EC6"/>
    <w:rsid w:val="003B3EF4"/>
    <w:rsid w:val="003B420D"/>
    <w:rsid w:val="003B5FE2"/>
    <w:rsid w:val="003C0D52"/>
    <w:rsid w:val="003C6C16"/>
    <w:rsid w:val="003C7E41"/>
    <w:rsid w:val="003D1077"/>
    <w:rsid w:val="003D205F"/>
    <w:rsid w:val="003D794D"/>
    <w:rsid w:val="003D7CBD"/>
    <w:rsid w:val="003E3058"/>
    <w:rsid w:val="003E64A3"/>
    <w:rsid w:val="003E76A9"/>
    <w:rsid w:val="003F02E1"/>
    <w:rsid w:val="003F0809"/>
    <w:rsid w:val="003F0AD9"/>
    <w:rsid w:val="003F141E"/>
    <w:rsid w:val="003F25A9"/>
    <w:rsid w:val="003F686D"/>
    <w:rsid w:val="003F6A8C"/>
    <w:rsid w:val="003F755C"/>
    <w:rsid w:val="00406F01"/>
    <w:rsid w:val="00410A74"/>
    <w:rsid w:val="00416186"/>
    <w:rsid w:val="00416D50"/>
    <w:rsid w:val="00416FD5"/>
    <w:rsid w:val="00417772"/>
    <w:rsid w:val="0042040B"/>
    <w:rsid w:val="00420E6A"/>
    <w:rsid w:val="004210BC"/>
    <w:rsid w:val="00425A9E"/>
    <w:rsid w:val="00425F50"/>
    <w:rsid w:val="00426D6B"/>
    <w:rsid w:val="004272DD"/>
    <w:rsid w:val="0043048B"/>
    <w:rsid w:val="00431E6C"/>
    <w:rsid w:val="00433CE7"/>
    <w:rsid w:val="004366C3"/>
    <w:rsid w:val="00440307"/>
    <w:rsid w:val="00442521"/>
    <w:rsid w:val="004438CD"/>
    <w:rsid w:val="00451C6C"/>
    <w:rsid w:val="00452215"/>
    <w:rsid w:val="00452738"/>
    <w:rsid w:val="00453232"/>
    <w:rsid w:val="0045492D"/>
    <w:rsid w:val="00456091"/>
    <w:rsid w:val="00460C60"/>
    <w:rsid w:val="00464604"/>
    <w:rsid w:val="00466321"/>
    <w:rsid w:val="00470156"/>
    <w:rsid w:val="00471D09"/>
    <w:rsid w:val="00472B52"/>
    <w:rsid w:val="00472C5A"/>
    <w:rsid w:val="00473446"/>
    <w:rsid w:val="00474B15"/>
    <w:rsid w:val="00480413"/>
    <w:rsid w:val="00483AB0"/>
    <w:rsid w:val="00484B9B"/>
    <w:rsid w:val="004855F6"/>
    <w:rsid w:val="004858D5"/>
    <w:rsid w:val="0048661E"/>
    <w:rsid w:val="0048717A"/>
    <w:rsid w:val="00487A3B"/>
    <w:rsid w:val="00494670"/>
    <w:rsid w:val="004A1829"/>
    <w:rsid w:val="004A3823"/>
    <w:rsid w:val="004B1FE9"/>
    <w:rsid w:val="004B2B0B"/>
    <w:rsid w:val="004B2C31"/>
    <w:rsid w:val="004B3DEE"/>
    <w:rsid w:val="004B570A"/>
    <w:rsid w:val="004C0492"/>
    <w:rsid w:val="004C161C"/>
    <w:rsid w:val="004C31E4"/>
    <w:rsid w:val="004D3632"/>
    <w:rsid w:val="004D390A"/>
    <w:rsid w:val="004D66FA"/>
    <w:rsid w:val="004E0AE1"/>
    <w:rsid w:val="004E5293"/>
    <w:rsid w:val="004E6946"/>
    <w:rsid w:val="004F0F33"/>
    <w:rsid w:val="004F1092"/>
    <w:rsid w:val="004F1AD8"/>
    <w:rsid w:val="004F300A"/>
    <w:rsid w:val="004F3285"/>
    <w:rsid w:val="004F5CF0"/>
    <w:rsid w:val="004F5F63"/>
    <w:rsid w:val="004F7C66"/>
    <w:rsid w:val="0050010A"/>
    <w:rsid w:val="005039CB"/>
    <w:rsid w:val="0050558F"/>
    <w:rsid w:val="00506286"/>
    <w:rsid w:val="00510813"/>
    <w:rsid w:val="00511990"/>
    <w:rsid w:val="00511DE0"/>
    <w:rsid w:val="0051226F"/>
    <w:rsid w:val="00513470"/>
    <w:rsid w:val="00514017"/>
    <w:rsid w:val="00514870"/>
    <w:rsid w:val="005149D2"/>
    <w:rsid w:val="00514B9B"/>
    <w:rsid w:val="00517F02"/>
    <w:rsid w:val="0052126C"/>
    <w:rsid w:val="00524303"/>
    <w:rsid w:val="005258A2"/>
    <w:rsid w:val="00534CB7"/>
    <w:rsid w:val="005377B6"/>
    <w:rsid w:val="005401AE"/>
    <w:rsid w:val="00542E07"/>
    <w:rsid w:val="00544B0D"/>
    <w:rsid w:val="00545424"/>
    <w:rsid w:val="005513E4"/>
    <w:rsid w:val="00554A7B"/>
    <w:rsid w:val="0055572C"/>
    <w:rsid w:val="005574B0"/>
    <w:rsid w:val="0056106A"/>
    <w:rsid w:val="00562C7B"/>
    <w:rsid w:val="00564CE1"/>
    <w:rsid w:val="00567BD9"/>
    <w:rsid w:val="005720AE"/>
    <w:rsid w:val="00572B89"/>
    <w:rsid w:val="0058162D"/>
    <w:rsid w:val="00582E77"/>
    <w:rsid w:val="00586057"/>
    <w:rsid w:val="005924A0"/>
    <w:rsid w:val="005941A5"/>
    <w:rsid w:val="00594B3D"/>
    <w:rsid w:val="00594D77"/>
    <w:rsid w:val="005969E4"/>
    <w:rsid w:val="005A06B7"/>
    <w:rsid w:val="005A0EBA"/>
    <w:rsid w:val="005A1759"/>
    <w:rsid w:val="005A2139"/>
    <w:rsid w:val="005A3C14"/>
    <w:rsid w:val="005A68A7"/>
    <w:rsid w:val="005A772C"/>
    <w:rsid w:val="005B02AC"/>
    <w:rsid w:val="005B27C4"/>
    <w:rsid w:val="005C185C"/>
    <w:rsid w:val="005C3694"/>
    <w:rsid w:val="005C7CCA"/>
    <w:rsid w:val="005D36AB"/>
    <w:rsid w:val="005D3C21"/>
    <w:rsid w:val="005D5A30"/>
    <w:rsid w:val="005D68B4"/>
    <w:rsid w:val="005E130C"/>
    <w:rsid w:val="005E475F"/>
    <w:rsid w:val="005E4E5C"/>
    <w:rsid w:val="005E592A"/>
    <w:rsid w:val="005E7D25"/>
    <w:rsid w:val="005F486C"/>
    <w:rsid w:val="005F625B"/>
    <w:rsid w:val="00604364"/>
    <w:rsid w:val="00606862"/>
    <w:rsid w:val="00610815"/>
    <w:rsid w:val="00612242"/>
    <w:rsid w:val="0061249B"/>
    <w:rsid w:val="0061592F"/>
    <w:rsid w:val="006168CF"/>
    <w:rsid w:val="00617959"/>
    <w:rsid w:val="00617CC3"/>
    <w:rsid w:val="00620007"/>
    <w:rsid w:val="00620D68"/>
    <w:rsid w:val="006246C0"/>
    <w:rsid w:val="00625443"/>
    <w:rsid w:val="00625916"/>
    <w:rsid w:val="00625B92"/>
    <w:rsid w:val="006320F1"/>
    <w:rsid w:val="00633FE9"/>
    <w:rsid w:val="006343C7"/>
    <w:rsid w:val="006377A6"/>
    <w:rsid w:val="00637A3D"/>
    <w:rsid w:val="006411EF"/>
    <w:rsid w:val="00642A99"/>
    <w:rsid w:val="00644F16"/>
    <w:rsid w:val="00656ECF"/>
    <w:rsid w:val="00663A5D"/>
    <w:rsid w:val="006655B3"/>
    <w:rsid w:val="00665E67"/>
    <w:rsid w:val="0067158F"/>
    <w:rsid w:val="006725DB"/>
    <w:rsid w:val="006748B8"/>
    <w:rsid w:val="006775C3"/>
    <w:rsid w:val="00677628"/>
    <w:rsid w:val="0068425B"/>
    <w:rsid w:val="00684D87"/>
    <w:rsid w:val="006857FD"/>
    <w:rsid w:val="00685C7D"/>
    <w:rsid w:val="00687059"/>
    <w:rsid w:val="00691C0A"/>
    <w:rsid w:val="0069290A"/>
    <w:rsid w:val="006930E1"/>
    <w:rsid w:val="0069775A"/>
    <w:rsid w:val="00697813"/>
    <w:rsid w:val="00697EB6"/>
    <w:rsid w:val="006A3EE8"/>
    <w:rsid w:val="006A66E1"/>
    <w:rsid w:val="006A72BF"/>
    <w:rsid w:val="006B03F2"/>
    <w:rsid w:val="006B16E9"/>
    <w:rsid w:val="006B19B7"/>
    <w:rsid w:val="006B37DC"/>
    <w:rsid w:val="006B4CA5"/>
    <w:rsid w:val="006B4CCA"/>
    <w:rsid w:val="006B4F68"/>
    <w:rsid w:val="006B601E"/>
    <w:rsid w:val="006C0592"/>
    <w:rsid w:val="006C272E"/>
    <w:rsid w:val="006C3B40"/>
    <w:rsid w:val="006C45DE"/>
    <w:rsid w:val="006C5479"/>
    <w:rsid w:val="006C6D28"/>
    <w:rsid w:val="006D13B5"/>
    <w:rsid w:val="006D73FE"/>
    <w:rsid w:val="006E12FF"/>
    <w:rsid w:val="006E1B96"/>
    <w:rsid w:val="006E607E"/>
    <w:rsid w:val="006E6E82"/>
    <w:rsid w:val="006E6FEC"/>
    <w:rsid w:val="006E7921"/>
    <w:rsid w:val="006F4BEE"/>
    <w:rsid w:val="006F6F0C"/>
    <w:rsid w:val="006F79CA"/>
    <w:rsid w:val="00700C8E"/>
    <w:rsid w:val="0070336D"/>
    <w:rsid w:val="007049D6"/>
    <w:rsid w:val="00706C5D"/>
    <w:rsid w:val="00707390"/>
    <w:rsid w:val="007133CE"/>
    <w:rsid w:val="0071382B"/>
    <w:rsid w:val="00713A3A"/>
    <w:rsid w:val="00716C60"/>
    <w:rsid w:val="00722267"/>
    <w:rsid w:val="007252E1"/>
    <w:rsid w:val="00732922"/>
    <w:rsid w:val="00732968"/>
    <w:rsid w:val="0074553B"/>
    <w:rsid w:val="007500DB"/>
    <w:rsid w:val="007502B2"/>
    <w:rsid w:val="0075160B"/>
    <w:rsid w:val="0075162E"/>
    <w:rsid w:val="00753FB1"/>
    <w:rsid w:val="00754034"/>
    <w:rsid w:val="0075587A"/>
    <w:rsid w:val="00756556"/>
    <w:rsid w:val="00760490"/>
    <w:rsid w:val="00761693"/>
    <w:rsid w:val="007618C4"/>
    <w:rsid w:val="00765795"/>
    <w:rsid w:val="00767980"/>
    <w:rsid w:val="00767E04"/>
    <w:rsid w:val="00770B19"/>
    <w:rsid w:val="007729F4"/>
    <w:rsid w:val="0077463F"/>
    <w:rsid w:val="007836EA"/>
    <w:rsid w:val="007848FD"/>
    <w:rsid w:val="00784CDA"/>
    <w:rsid w:val="00787FB7"/>
    <w:rsid w:val="007906C4"/>
    <w:rsid w:val="00790A59"/>
    <w:rsid w:val="007936F2"/>
    <w:rsid w:val="00793711"/>
    <w:rsid w:val="007940EA"/>
    <w:rsid w:val="007967E8"/>
    <w:rsid w:val="007A0996"/>
    <w:rsid w:val="007A2170"/>
    <w:rsid w:val="007A22BF"/>
    <w:rsid w:val="007A3323"/>
    <w:rsid w:val="007A5FE2"/>
    <w:rsid w:val="007A6C8A"/>
    <w:rsid w:val="007B3193"/>
    <w:rsid w:val="007B3BDE"/>
    <w:rsid w:val="007B6051"/>
    <w:rsid w:val="007B72B8"/>
    <w:rsid w:val="007B7A58"/>
    <w:rsid w:val="007C21B5"/>
    <w:rsid w:val="007C7D62"/>
    <w:rsid w:val="007C7D8F"/>
    <w:rsid w:val="007D2F48"/>
    <w:rsid w:val="007D43C7"/>
    <w:rsid w:val="007E0C94"/>
    <w:rsid w:val="007E1717"/>
    <w:rsid w:val="007E179E"/>
    <w:rsid w:val="007E1ABE"/>
    <w:rsid w:val="007E2571"/>
    <w:rsid w:val="007E3802"/>
    <w:rsid w:val="007E403D"/>
    <w:rsid w:val="007E4BD2"/>
    <w:rsid w:val="007E5ADD"/>
    <w:rsid w:val="007E7A67"/>
    <w:rsid w:val="007F6233"/>
    <w:rsid w:val="007F68D9"/>
    <w:rsid w:val="00801393"/>
    <w:rsid w:val="0080197D"/>
    <w:rsid w:val="00802F88"/>
    <w:rsid w:val="008034E3"/>
    <w:rsid w:val="0081052F"/>
    <w:rsid w:val="0081293E"/>
    <w:rsid w:val="008144D3"/>
    <w:rsid w:val="00815465"/>
    <w:rsid w:val="00817E9A"/>
    <w:rsid w:val="00826179"/>
    <w:rsid w:val="008306BD"/>
    <w:rsid w:val="00831466"/>
    <w:rsid w:val="00831A80"/>
    <w:rsid w:val="0083321F"/>
    <w:rsid w:val="00833743"/>
    <w:rsid w:val="00833CEE"/>
    <w:rsid w:val="008340A4"/>
    <w:rsid w:val="00834AF6"/>
    <w:rsid w:val="0083766C"/>
    <w:rsid w:val="0083777A"/>
    <w:rsid w:val="00845D9B"/>
    <w:rsid w:val="00851FCD"/>
    <w:rsid w:val="00854E61"/>
    <w:rsid w:val="00857DF8"/>
    <w:rsid w:val="0086701F"/>
    <w:rsid w:val="00870498"/>
    <w:rsid w:val="0087135F"/>
    <w:rsid w:val="00872D94"/>
    <w:rsid w:val="00874C07"/>
    <w:rsid w:val="008750BA"/>
    <w:rsid w:val="00876AC7"/>
    <w:rsid w:val="00880364"/>
    <w:rsid w:val="00883A16"/>
    <w:rsid w:val="008843D7"/>
    <w:rsid w:val="00885F6A"/>
    <w:rsid w:val="00890810"/>
    <w:rsid w:val="00891592"/>
    <w:rsid w:val="00891E9E"/>
    <w:rsid w:val="008945AE"/>
    <w:rsid w:val="00894D17"/>
    <w:rsid w:val="00895940"/>
    <w:rsid w:val="00897FDB"/>
    <w:rsid w:val="008A27C4"/>
    <w:rsid w:val="008A2F68"/>
    <w:rsid w:val="008A339D"/>
    <w:rsid w:val="008B3871"/>
    <w:rsid w:val="008B4FA6"/>
    <w:rsid w:val="008B5282"/>
    <w:rsid w:val="008B6872"/>
    <w:rsid w:val="008B7C17"/>
    <w:rsid w:val="008C0EFA"/>
    <w:rsid w:val="008C254D"/>
    <w:rsid w:val="008C2D01"/>
    <w:rsid w:val="008C40E6"/>
    <w:rsid w:val="008C6FA0"/>
    <w:rsid w:val="008D0F7A"/>
    <w:rsid w:val="008D34FC"/>
    <w:rsid w:val="008D68E4"/>
    <w:rsid w:val="008D7431"/>
    <w:rsid w:val="008E0506"/>
    <w:rsid w:val="008E0CFF"/>
    <w:rsid w:val="008E1B99"/>
    <w:rsid w:val="008E2779"/>
    <w:rsid w:val="008E346A"/>
    <w:rsid w:val="008E50BF"/>
    <w:rsid w:val="008E5D6B"/>
    <w:rsid w:val="008E76F0"/>
    <w:rsid w:val="008F15FE"/>
    <w:rsid w:val="008F2CA3"/>
    <w:rsid w:val="008F2D29"/>
    <w:rsid w:val="008F3801"/>
    <w:rsid w:val="008F44FB"/>
    <w:rsid w:val="008F5187"/>
    <w:rsid w:val="008F5A6D"/>
    <w:rsid w:val="008F60D8"/>
    <w:rsid w:val="008F67DB"/>
    <w:rsid w:val="00901183"/>
    <w:rsid w:val="00902727"/>
    <w:rsid w:val="0090312B"/>
    <w:rsid w:val="009108E2"/>
    <w:rsid w:val="00914E29"/>
    <w:rsid w:val="0091736D"/>
    <w:rsid w:val="00922505"/>
    <w:rsid w:val="0093037A"/>
    <w:rsid w:val="009376CC"/>
    <w:rsid w:val="009400F7"/>
    <w:rsid w:val="00940C05"/>
    <w:rsid w:val="0094154D"/>
    <w:rsid w:val="0095155F"/>
    <w:rsid w:val="009515D0"/>
    <w:rsid w:val="0095236E"/>
    <w:rsid w:val="00953AD8"/>
    <w:rsid w:val="00953EA2"/>
    <w:rsid w:val="00954195"/>
    <w:rsid w:val="00954429"/>
    <w:rsid w:val="0095531E"/>
    <w:rsid w:val="009563CE"/>
    <w:rsid w:val="009603C5"/>
    <w:rsid w:val="0096086E"/>
    <w:rsid w:val="0096094F"/>
    <w:rsid w:val="0096357D"/>
    <w:rsid w:val="00963C3A"/>
    <w:rsid w:val="0096423B"/>
    <w:rsid w:val="009712D2"/>
    <w:rsid w:val="0097573A"/>
    <w:rsid w:val="00976328"/>
    <w:rsid w:val="0097680D"/>
    <w:rsid w:val="0097726F"/>
    <w:rsid w:val="00977D15"/>
    <w:rsid w:val="0098106A"/>
    <w:rsid w:val="00981635"/>
    <w:rsid w:val="00982438"/>
    <w:rsid w:val="0098404C"/>
    <w:rsid w:val="00985283"/>
    <w:rsid w:val="009920B1"/>
    <w:rsid w:val="00992D67"/>
    <w:rsid w:val="00992E00"/>
    <w:rsid w:val="00993377"/>
    <w:rsid w:val="00995992"/>
    <w:rsid w:val="009A03E5"/>
    <w:rsid w:val="009A0F3B"/>
    <w:rsid w:val="009A1BB4"/>
    <w:rsid w:val="009A2628"/>
    <w:rsid w:val="009A3200"/>
    <w:rsid w:val="009A63BD"/>
    <w:rsid w:val="009A7C9D"/>
    <w:rsid w:val="009B0897"/>
    <w:rsid w:val="009B0A31"/>
    <w:rsid w:val="009B4CB6"/>
    <w:rsid w:val="009B6A97"/>
    <w:rsid w:val="009B7BD9"/>
    <w:rsid w:val="009C7CE8"/>
    <w:rsid w:val="009C7DD5"/>
    <w:rsid w:val="009D02EC"/>
    <w:rsid w:val="009D2CA7"/>
    <w:rsid w:val="009D31F2"/>
    <w:rsid w:val="009E0932"/>
    <w:rsid w:val="009E227D"/>
    <w:rsid w:val="009E2A4F"/>
    <w:rsid w:val="009E3BED"/>
    <w:rsid w:val="009E3C9B"/>
    <w:rsid w:val="009E4FC1"/>
    <w:rsid w:val="009E5019"/>
    <w:rsid w:val="009E6981"/>
    <w:rsid w:val="009F47E9"/>
    <w:rsid w:val="009F7176"/>
    <w:rsid w:val="009F71A5"/>
    <w:rsid w:val="00A00185"/>
    <w:rsid w:val="00A01F45"/>
    <w:rsid w:val="00A04F1B"/>
    <w:rsid w:val="00A0501B"/>
    <w:rsid w:val="00A1334D"/>
    <w:rsid w:val="00A14947"/>
    <w:rsid w:val="00A16CA5"/>
    <w:rsid w:val="00A17774"/>
    <w:rsid w:val="00A22038"/>
    <w:rsid w:val="00A23BCB"/>
    <w:rsid w:val="00A26423"/>
    <w:rsid w:val="00A26B8B"/>
    <w:rsid w:val="00A27251"/>
    <w:rsid w:val="00A30012"/>
    <w:rsid w:val="00A30376"/>
    <w:rsid w:val="00A32A83"/>
    <w:rsid w:val="00A36278"/>
    <w:rsid w:val="00A368DB"/>
    <w:rsid w:val="00A423AA"/>
    <w:rsid w:val="00A53EC6"/>
    <w:rsid w:val="00A55C0F"/>
    <w:rsid w:val="00A5687C"/>
    <w:rsid w:val="00A570C7"/>
    <w:rsid w:val="00A61C58"/>
    <w:rsid w:val="00A6225B"/>
    <w:rsid w:val="00A65080"/>
    <w:rsid w:val="00A66AC0"/>
    <w:rsid w:val="00A7211F"/>
    <w:rsid w:val="00A7572D"/>
    <w:rsid w:val="00A82897"/>
    <w:rsid w:val="00A82CAF"/>
    <w:rsid w:val="00A8713F"/>
    <w:rsid w:val="00A90BA1"/>
    <w:rsid w:val="00A94DA4"/>
    <w:rsid w:val="00A97A9A"/>
    <w:rsid w:val="00AA0671"/>
    <w:rsid w:val="00AA1489"/>
    <w:rsid w:val="00AA2531"/>
    <w:rsid w:val="00AA557A"/>
    <w:rsid w:val="00AB034E"/>
    <w:rsid w:val="00AB124C"/>
    <w:rsid w:val="00AB1E09"/>
    <w:rsid w:val="00AB216B"/>
    <w:rsid w:val="00AB45D4"/>
    <w:rsid w:val="00AB5330"/>
    <w:rsid w:val="00AB5B5B"/>
    <w:rsid w:val="00AB7576"/>
    <w:rsid w:val="00AB7747"/>
    <w:rsid w:val="00AC14CE"/>
    <w:rsid w:val="00AC2A56"/>
    <w:rsid w:val="00AC3215"/>
    <w:rsid w:val="00AC6645"/>
    <w:rsid w:val="00AD055E"/>
    <w:rsid w:val="00AD06DB"/>
    <w:rsid w:val="00AD090C"/>
    <w:rsid w:val="00AD14CD"/>
    <w:rsid w:val="00AD30BC"/>
    <w:rsid w:val="00AD3635"/>
    <w:rsid w:val="00AD47A7"/>
    <w:rsid w:val="00AD4C06"/>
    <w:rsid w:val="00AD57A3"/>
    <w:rsid w:val="00AE1791"/>
    <w:rsid w:val="00AE5332"/>
    <w:rsid w:val="00AF0CBF"/>
    <w:rsid w:val="00AF257F"/>
    <w:rsid w:val="00AF33CF"/>
    <w:rsid w:val="00AF4D50"/>
    <w:rsid w:val="00AF6179"/>
    <w:rsid w:val="00AF7B6B"/>
    <w:rsid w:val="00B01938"/>
    <w:rsid w:val="00B058C4"/>
    <w:rsid w:val="00B119F4"/>
    <w:rsid w:val="00B1295A"/>
    <w:rsid w:val="00B20A45"/>
    <w:rsid w:val="00B21C05"/>
    <w:rsid w:val="00B22C5C"/>
    <w:rsid w:val="00B22DBC"/>
    <w:rsid w:val="00B24F30"/>
    <w:rsid w:val="00B31ABF"/>
    <w:rsid w:val="00B33460"/>
    <w:rsid w:val="00B33BE3"/>
    <w:rsid w:val="00B34685"/>
    <w:rsid w:val="00B43D75"/>
    <w:rsid w:val="00B45396"/>
    <w:rsid w:val="00B5061F"/>
    <w:rsid w:val="00B53B5D"/>
    <w:rsid w:val="00B54F89"/>
    <w:rsid w:val="00B56DF2"/>
    <w:rsid w:val="00B6055E"/>
    <w:rsid w:val="00B61C06"/>
    <w:rsid w:val="00B6317D"/>
    <w:rsid w:val="00B659C8"/>
    <w:rsid w:val="00B761EB"/>
    <w:rsid w:val="00B76438"/>
    <w:rsid w:val="00B7678E"/>
    <w:rsid w:val="00B7723F"/>
    <w:rsid w:val="00B80534"/>
    <w:rsid w:val="00B8433C"/>
    <w:rsid w:val="00B87491"/>
    <w:rsid w:val="00B87996"/>
    <w:rsid w:val="00B9187F"/>
    <w:rsid w:val="00B9281E"/>
    <w:rsid w:val="00B94184"/>
    <w:rsid w:val="00B9599F"/>
    <w:rsid w:val="00B95D20"/>
    <w:rsid w:val="00BA29E9"/>
    <w:rsid w:val="00BA3DD1"/>
    <w:rsid w:val="00BA4BFC"/>
    <w:rsid w:val="00BA7142"/>
    <w:rsid w:val="00BB237C"/>
    <w:rsid w:val="00BB41A3"/>
    <w:rsid w:val="00BB47A3"/>
    <w:rsid w:val="00BB5D25"/>
    <w:rsid w:val="00BC187F"/>
    <w:rsid w:val="00BC1B66"/>
    <w:rsid w:val="00BC24B4"/>
    <w:rsid w:val="00BC28E3"/>
    <w:rsid w:val="00BC32DC"/>
    <w:rsid w:val="00BC35B6"/>
    <w:rsid w:val="00BC7A6C"/>
    <w:rsid w:val="00BD0347"/>
    <w:rsid w:val="00BD1B51"/>
    <w:rsid w:val="00BD21CA"/>
    <w:rsid w:val="00BD4596"/>
    <w:rsid w:val="00BE00D7"/>
    <w:rsid w:val="00BE13A9"/>
    <w:rsid w:val="00BE1405"/>
    <w:rsid w:val="00BE312D"/>
    <w:rsid w:val="00BE755F"/>
    <w:rsid w:val="00BE79C9"/>
    <w:rsid w:val="00BF004A"/>
    <w:rsid w:val="00BF1C20"/>
    <w:rsid w:val="00BF3C1D"/>
    <w:rsid w:val="00BF5BDE"/>
    <w:rsid w:val="00BF619A"/>
    <w:rsid w:val="00BF6E0E"/>
    <w:rsid w:val="00C005FA"/>
    <w:rsid w:val="00C05D51"/>
    <w:rsid w:val="00C10578"/>
    <w:rsid w:val="00C115DA"/>
    <w:rsid w:val="00C135BC"/>
    <w:rsid w:val="00C15C95"/>
    <w:rsid w:val="00C179E0"/>
    <w:rsid w:val="00C2596A"/>
    <w:rsid w:val="00C2653A"/>
    <w:rsid w:val="00C27537"/>
    <w:rsid w:val="00C328FE"/>
    <w:rsid w:val="00C33507"/>
    <w:rsid w:val="00C37E46"/>
    <w:rsid w:val="00C41536"/>
    <w:rsid w:val="00C4347B"/>
    <w:rsid w:val="00C4409D"/>
    <w:rsid w:val="00C44E72"/>
    <w:rsid w:val="00C45A06"/>
    <w:rsid w:val="00C47E5B"/>
    <w:rsid w:val="00C61E4B"/>
    <w:rsid w:val="00C64BFF"/>
    <w:rsid w:val="00C66E68"/>
    <w:rsid w:val="00C704E9"/>
    <w:rsid w:val="00C75EBD"/>
    <w:rsid w:val="00C763C9"/>
    <w:rsid w:val="00C80057"/>
    <w:rsid w:val="00C821F4"/>
    <w:rsid w:val="00C82232"/>
    <w:rsid w:val="00C82913"/>
    <w:rsid w:val="00C83A05"/>
    <w:rsid w:val="00C87CB6"/>
    <w:rsid w:val="00C9046D"/>
    <w:rsid w:val="00C972B1"/>
    <w:rsid w:val="00C97AAB"/>
    <w:rsid w:val="00CA2C1A"/>
    <w:rsid w:val="00CA2CCE"/>
    <w:rsid w:val="00CA43FD"/>
    <w:rsid w:val="00CA499A"/>
    <w:rsid w:val="00CA5B09"/>
    <w:rsid w:val="00CA7EF8"/>
    <w:rsid w:val="00CB0637"/>
    <w:rsid w:val="00CB26D8"/>
    <w:rsid w:val="00CB5133"/>
    <w:rsid w:val="00CB6424"/>
    <w:rsid w:val="00CC071F"/>
    <w:rsid w:val="00CC18E9"/>
    <w:rsid w:val="00CC1D77"/>
    <w:rsid w:val="00CC258B"/>
    <w:rsid w:val="00CC489B"/>
    <w:rsid w:val="00CC53AF"/>
    <w:rsid w:val="00CD0405"/>
    <w:rsid w:val="00CD2BCD"/>
    <w:rsid w:val="00CD3A4C"/>
    <w:rsid w:val="00CE10E9"/>
    <w:rsid w:val="00CE2910"/>
    <w:rsid w:val="00CE3892"/>
    <w:rsid w:val="00CE5393"/>
    <w:rsid w:val="00CE544D"/>
    <w:rsid w:val="00CE6122"/>
    <w:rsid w:val="00CE704B"/>
    <w:rsid w:val="00CF31A2"/>
    <w:rsid w:val="00CF36BE"/>
    <w:rsid w:val="00CF3B99"/>
    <w:rsid w:val="00CF51C4"/>
    <w:rsid w:val="00CF6000"/>
    <w:rsid w:val="00CF6227"/>
    <w:rsid w:val="00CF677C"/>
    <w:rsid w:val="00D003F3"/>
    <w:rsid w:val="00D0364F"/>
    <w:rsid w:val="00D042C0"/>
    <w:rsid w:val="00D06834"/>
    <w:rsid w:val="00D10C56"/>
    <w:rsid w:val="00D12E12"/>
    <w:rsid w:val="00D14ED0"/>
    <w:rsid w:val="00D15E8C"/>
    <w:rsid w:val="00D16CCB"/>
    <w:rsid w:val="00D21A9B"/>
    <w:rsid w:val="00D21E55"/>
    <w:rsid w:val="00D21EAD"/>
    <w:rsid w:val="00D26A57"/>
    <w:rsid w:val="00D308ED"/>
    <w:rsid w:val="00D30F63"/>
    <w:rsid w:val="00D35378"/>
    <w:rsid w:val="00D35D50"/>
    <w:rsid w:val="00D36D86"/>
    <w:rsid w:val="00D428AA"/>
    <w:rsid w:val="00D42C96"/>
    <w:rsid w:val="00D43341"/>
    <w:rsid w:val="00D45D99"/>
    <w:rsid w:val="00D50A34"/>
    <w:rsid w:val="00D522BD"/>
    <w:rsid w:val="00D53EFA"/>
    <w:rsid w:val="00D55BA0"/>
    <w:rsid w:val="00D55C26"/>
    <w:rsid w:val="00D62C38"/>
    <w:rsid w:val="00D741C9"/>
    <w:rsid w:val="00D8138B"/>
    <w:rsid w:val="00D819B6"/>
    <w:rsid w:val="00D81E35"/>
    <w:rsid w:val="00D82676"/>
    <w:rsid w:val="00D90439"/>
    <w:rsid w:val="00D91872"/>
    <w:rsid w:val="00D937AF"/>
    <w:rsid w:val="00D940C9"/>
    <w:rsid w:val="00D94A7C"/>
    <w:rsid w:val="00D952FB"/>
    <w:rsid w:val="00D95896"/>
    <w:rsid w:val="00D95967"/>
    <w:rsid w:val="00DA2CAB"/>
    <w:rsid w:val="00DA6611"/>
    <w:rsid w:val="00DB0843"/>
    <w:rsid w:val="00DB121E"/>
    <w:rsid w:val="00DB2983"/>
    <w:rsid w:val="00DB32E3"/>
    <w:rsid w:val="00DC1257"/>
    <w:rsid w:val="00DC2A15"/>
    <w:rsid w:val="00DC3DC0"/>
    <w:rsid w:val="00DC4212"/>
    <w:rsid w:val="00DC5B2B"/>
    <w:rsid w:val="00DD15B3"/>
    <w:rsid w:val="00DD22D3"/>
    <w:rsid w:val="00DD318D"/>
    <w:rsid w:val="00DD3F6C"/>
    <w:rsid w:val="00DD68D6"/>
    <w:rsid w:val="00DE0619"/>
    <w:rsid w:val="00DF146D"/>
    <w:rsid w:val="00DF157E"/>
    <w:rsid w:val="00DF2E12"/>
    <w:rsid w:val="00DF4116"/>
    <w:rsid w:val="00DF514A"/>
    <w:rsid w:val="00DF6051"/>
    <w:rsid w:val="00DF6690"/>
    <w:rsid w:val="00DF6804"/>
    <w:rsid w:val="00DF6A86"/>
    <w:rsid w:val="00E0358D"/>
    <w:rsid w:val="00E0368B"/>
    <w:rsid w:val="00E04323"/>
    <w:rsid w:val="00E070A2"/>
    <w:rsid w:val="00E10905"/>
    <w:rsid w:val="00E115D1"/>
    <w:rsid w:val="00E1386B"/>
    <w:rsid w:val="00E13BB6"/>
    <w:rsid w:val="00E14437"/>
    <w:rsid w:val="00E2656A"/>
    <w:rsid w:val="00E31232"/>
    <w:rsid w:val="00E337D5"/>
    <w:rsid w:val="00E34596"/>
    <w:rsid w:val="00E35540"/>
    <w:rsid w:val="00E40636"/>
    <w:rsid w:val="00E412D0"/>
    <w:rsid w:val="00E41C9B"/>
    <w:rsid w:val="00E43738"/>
    <w:rsid w:val="00E43770"/>
    <w:rsid w:val="00E44F27"/>
    <w:rsid w:val="00E451FD"/>
    <w:rsid w:val="00E474F7"/>
    <w:rsid w:val="00E5191C"/>
    <w:rsid w:val="00E522CF"/>
    <w:rsid w:val="00E56322"/>
    <w:rsid w:val="00E60982"/>
    <w:rsid w:val="00E60A18"/>
    <w:rsid w:val="00E61D35"/>
    <w:rsid w:val="00E62C62"/>
    <w:rsid w:val="00E64585"/>
    <w:rsid w:val="00E654C1"/>
    <w:rsid w:val="00E65D97"/>
    <w:rsid w:val="00E67941"/>
    <w:rsid w:val="00E70602"/>
    <w:rsid w:val="00E71CE4"/>
    <w:rsid w:val="00E72A5A"/>
    <w:rsid w:val="00E72A84"/>
    <w:rsid w:val="00E73354"/>
    <w:rsid w:val="00E73675"/>
    <w:rsid w:val="00E81847"/>
    <w:rsid w:val="00E859A2"/>
    <w:rsid w:val="00E9242D"/>
    <w:rsid w:val="00EA60CE"/>
    <w:rsid w:val="00EB020F"/>
    <w:rsid w:val="00EB1504"/>
    <w:rsid w:val="00EB2A87"/>
    <w:rsid w:val="00EB5255"/>
    <w:rsid w:val="00EB5C47"/>
    <w:rsid w:val="00EC2378"/>
    <w:rsid w:val="00EC3846"/>
    <w:rsid w:val="00EC42F1"/>
    <w:rsid w:val="00EC6C63"/>
    <w:rsid w:val="00EC7861"/>
    <w:rsid w:val="00ED0639"/>
    <w:rsid w:val="00ED2BFE"/>
    <w:rsid w:val="00ED3687"/>
    <w:rsid w:val="00ED393B"/>
    <w:rsid w:val="00ED572D"/>
    <w:rsid w:val="00EE1877"/>
    <w:rsid w:val="00EE5AAF"/>
    <w:rsid w:val="00EF25EB"/>
    <w:rsid w:val="00EF374C"/>
    <w:rsid w:val="00EF4386"/>
    <w:rsid w:val="00EF4755"/>
    <w:rsid w:val="00EF4834"/>
    <w:rsid w:val="00EF60B3"/>
    <w:rsid w:val="00EF6A78"/>
    <w:rsid w:val="00EF7135"/>
    <w:rsid w:val="00F027DB"/>
    <w:rsid w:val="00F072FF"/>
    <w:rsid w:val="00F079AC"/>
    <w:rsid w:val="00F14A7A"/>
    <w:rsid w:val="00F15C20"/>
    <w:rsid w:val="00F17039"/>
    <w:rsid w:val="00F22985"/>
    <w:rsid w:val="00F25E75"/>
    <w:rsid w:val="00F2692E"/>
    <w:rsid w:val="00F3383E"/>
    <w:rsid w:val="00F340E0"/>
    <w:rsid w:val="00F37EA4"/>
    <w:rsid w:val="00F465A7"/>
    <w:rsid w:val="00F468FF"/>
    <w:rsid w:val="00F50B7C"/>
    <w:rsid w:val="00F539CE"/>
    <w:rsid w:val="00F550E6"/>
    <w:rsid w:val="00F57901"/>
    <w:rsid w:val="00F60699"/>
    <w:rsid w:val="00F64107"/>
    <w:rsid w:val="00F64F17"/>
    <w:rsid w:val="00F6653B"/>
    <w:rsid w:val="00F6750E"/>
    <w:rsid w:val="00F74345"/>
    <w:rsid w:val="00F80A0A"/>
    <w:rsid w:val="00F814E9"/>
    <w:rsid w:val="00F82B19"/>
    <w:rsid w:val="00F868FB"/>
    <w:rsid w:val="00F91A08"/>
    <w:rsid w:val="00F9212D"/>
    <w:rsid w:val="00F9511A"/>
    <w:rsid w:val="00F965DA"/>
    <w:rsid w:val="00FA1EE5"/>
    <w:rsid w:val="00FA406A"/>
    <w:rsid w:val="00FA68DB"/>
    <w:rsid w:val="00FB17DE"/>
    <w:rsid w:val="00FB21D3"/>
    <w:rsid w:val="00FB29C5"/>
    <w:rsid w:val="00FB2B7A"/>
    <w:rsid w:val="00FB346B"/>
    <w:rsid w:val="00FB503A"/>
    <w:rsid w:val="00FB516C"/>
    <w:rsid w:val="00FC099E"/>
    <w:rsid w:val="00FC4C86"/>
    <w:rsid w:val="00FC68B9"/>
    <w:rsid w:val="00FC70B0"/>
    <w:rsid w:val="00FD0236"/>
    <w:rsid w:val="00FD18F4"/>
    <w:rsid w:val="00FD2328"/>
    <w:rsid w:val="00FD4D26"/>
    <w:rsid w:val="00FD54DB"/>
    <w:rsid w:val="00FD619F"/>
    <w:rsid w:val="00FE08C2"/>
    <w:rsid w:val="00FE4EAE"/>
    <w:rsid w:val="00FE4ED9"/>
    <w:rsid w:val="00FE6D27"/>
    <w:rsid w:val="00FF2050"/>
    <w:rsid w:val="00FF3FD3"/>
    <w:rsid w:val="01290F7E"/>
    <w:rsid w:val="01431A4A"/>
    <w:rsid w:val="014E0D8F"/>
    <w:rsid w:val="01560A99"/>
    <w:rsid w:val="015D1E09"/>
    <w:rsid w:val="01695955"/>
    <w:rsid w:val="018E7435"/>
    <w:rsid w:val="0198159D"/>
    <w:rsid w:val="01995F83"/>
    <w:rsid w:val="01A81906"/>
    <w:rsid w:val="01F35D64"/>
    <w:rsid w:val="01F661C3"/>
    <w:rsid w:val="01FF6659"/>
    <w:rsid w:val="02054F52"/>
    <w:rsid w:val="020C0D2B"/>
    <w:rsid w:val="020E11B2"/>
    <w:rsid w:val="02120713"/>
    <w:rsid w:val="02282BCE"/>
    <w:rsid w:val="02697903"/>
    <w:rsid w:val="02950B1E"/>
    <w:rsid w:val="02987F4F"/>
    <w:rsid w:val="029C0344"/>
    <w:rsid w:val="02A36927"/>
    <w:rsid w:val="02CA567F"/>
    <w:rsid w:val="02D64D84"/>
    <w:rsid w:val="02D84414"/>
    <w:rsid w:val="02F96569"/>
    <w:rsid w:val="03100052"/>
    <w:rsid w:val="034418EA"/>
    <w:rsid w:val="03460CF5"/>
    <w:rsid w:val="038A52A2"/>
    <w:rsid w:val="038C76D9"/>
    <w:rsid w:val="0394658D"/>
    <w:rsid w:val="03B775E3"/>
    <w:rsid w:val="03BD6A26"/>
    <w:rsid w:val="03C850BD"/>
    <w:rsid w:val="03E60C70"/>
    <w:rsid w:val="03EA7B21"/>
    <w:rsid w:val="03EE461A"/>
    <w:rsid w:val="0410789E"/>
    <w:rsid w:val="04610B65"/>
    <w:rsid w:val="04B64A7E"/>
    <w:rsid w:val="04BA2EEF"/>
    <w:rsid w:val="04CF1BCC"/>
    <w:rsid w:val="04D67C28"/>
    <w:rsid w:val="04E92909"/>
    <w:rsid w:val="05150C20"/>
    <w:rsid w:val="05404C1F"/>
    <w:rsid w:val="05415011"/>
    <w:rsid w:val="05441F55"/>
    <w:rsid w:val="055E1175"/>
    <w:rsid w:val="057130C3"/>
    <w:rsid w:val="058A52EB"/>
    <w:rsid w:val="05B35FFE"/>
    <w:rsid w:val="05DF4C9D"/>
    <w:rsid w:val="05E829E4"/>
    <w:rsid w:val="05F83EAE"/>
    <w:rsid w:val="060016A0"/>
    <w:rsid w:val="06050623"/>
    <w:rsid w:val="06134DFB"/>
    <w:rsid w:val="06161D2A"/>
    <w:rsid w:val="061A7C54"/>
    <w:rsid w:val="061D7D49"/>
    <w:rsid w:val="06265494"/>
    <w:rsid w:val="063E7D85"/>
    <w:rsid w:val="06542840"/>
    <w:rsid w:val="065C63B9"/>
    <w:rsid w:val="066A22D7"/>
    <w:rsid w:val="067B1C86"/>
    <w:rsid w:val="0699306F"/>
    <w:rsid w:val="06A53F06"/>
    <w:rsid w:val="06B62CBE"/>
    <w:rsid w:val="06C12CCD"/>
    <w:rsid w:val="06C42263"/>
    <w:rsid w:val="06D31F8B"/>
    <w:rsid w:val="06F03539"/>
    <w:rsid w:val="071C5523"/>
    <w:rsid w:val="07293586"/>
    <w:rsid w:val="07295285"/>
    <w:rsid w:val="072C4AB3"/>
    <w:rsid w:val="073B01A4"/>
    <w:rsid w:val="07636392"/>
    <w:rsid w:val="076F7866"/>
    <w:rsid w:val="07770C56"/>
    <w:rsid w:val="078B290D"/>
    <w:rsid w:val="07B21608"/>
    <w:rsid w:val="07E578C5"/>
    <w:rsid w:val="07F610BA"/>
    <w:rsid w:val="08014DE0"/>
    <w:rsid w:val="080C703A"/>
    <w:rsid w:val="08177CFB"/>
    <w:rsid w:val="08196993"/>
    <w:rsid w:val="081D4437"/>
    <w:rsid w:val="081D65B1"/>
    <w:rsid w:val="083B317A"/>
    <w:rsid w:val="083E018B"/>
    <w:rsid w:val="086C7AD9"/>
    <w:rsid w:val="08B60D54"/>
    <w:rsid w:val="08C5451D"/>
    <w:rsid w:val="09023047"/>
    <w:rsid w:val="092217DD"/>
    <w:rsid w:val="092664FB"/>
    <w:rsid w:val="093A7294"/>
    <w:rsid w:val="09540C72"/>
    <w:rsid w:val="09727CD2"/>
    <w:rsid w:val="099B6669"/>
    <w:rsid w:val="0A0D1E7A"/>
    <w:rsid w:val="0A0F2962"/>
    <w:rsid w:val="0A1270A8"/>
    <w:rsid w:val="0A14787C"/>
    <w:rsid w:val="0A263993"/>
    <w:rsid w:val="0A2D3AC2"/>
    <w:rsid w:val="0A2D3D2A"/>
    <w:rsid w:val="0A32587D"/>
    <w:rsid w:val="0A69096A"/>
    <w:rsid w:val="0A78588D"/>
    <w:rsid w:val="0AA40CB5"/>
    <w:rsid w:val="0AA755DF"/>
    <w:rsid w:val="0AB368ED"/>
    <w:rsid w:val="0AF85118"/>
    <w:rsid w:val="0B120D44"/>
    <w:rsid w:val="0B382E2F"/>
    <w:rsid w:val="0B7436F1"/>
    <w:rsid w:val="0B9417BC"/>
    <w:rsid w:val="0BD27BF6"/>
    <w:rsid w:val="0BDA686F"/>
    <w:rsid w:val="0BE65DF4"/>
    <w:rsid w:val="0BEC3448"/>
    <w:rsid w:val="0BFF2A12"/>
    <w:rsid w:val="0C0F0EA7"/>
    <w:rsid w:val="0C19374E"/>
    <w:rsid w:val="0C2B34AC"/>
    <w:rsid w:val="0C363A56"/>
    <w:rsid w:val="0C3B3C7D"/>
    <w:rsid w:val="0C4467ED"/>
    <w:rsid w:val="0C512F55"/>
    <w:rsid w:val="0C6716E7"/>
    <w:rsid w:val="0C744D94"/>
    <w:rsid w:val="0C7711FF"/>
    <w:rsid w:val="0C7F29F4"/>
    <w:rsid w:val="0C8F007B"/>
    <w:rsid w:val="0C95041C"/>
    <w:rsid w:val="0C980C60"/>
    <w:rsid w:val="0CAB2EAE"/>
    <w:rsid w:val="0CC31C1D"/>
    <w:rsid w:val="0CC65889"/>
    <w:rsid w:val="0CCA4C2E"/>
    <w:rsid w:val="0CD7263C"/>
    <w:rsid w:val="0CDA5AEB"/>
    <w:rsid w:val="0CEB118D"/>
    <w:rsid w:val="0D357E18"/>
    <w:rsid w:val="0D621C7D"/>
    <w:rsid w:val="0D8628DA"/>
    <w:rsid w:val="0DAB3883"/>
    <w:rsid w:val="0DBD3958"/>
    <w:rsid w:val="0DF77047"/>
    <w:rsid w:val="0E0045C8"/>
    <w:rsid w:val="0E3F411C"/>
    <w:rsid w:val="0E3F70AB"/>
    <w:rsid w:val="0E552DBD"/>
    <w:rsid w:val="0E5A4AF0"/>
    <w:rsid w:val="0E607A8D"/>
    <w:rsid w:val="0E73034D"/>
    <w:rsid w:val="0E8455C0"/>
    <w:rsid w:val="0E870F14"/>
    <w:rsid w:val="0E9658AF"/>
    <w:rsid w:val="0EA36966"/>
    <w:rsid w:val="0ED20FEC"/>
    <w:rsid w:val="0EF11FB0"/>
    <w:rsid w:val="0F13775A"/>
    <w:rsid w:val="0F336EC5"/>
    <w:rsid w:val="0F5F00E6"/>
    <w:rsid w:val="0F5F45FE"/>
    <w:rsid w:val="0F8B1A00"/>
    <w:rsid w:val="0F8E4F66"/>
    <w:rsid w:val="0F9A112B"/>
    <w:rsid w:val="0FB0241C"/>
    <w:rsid w:val="0FB029A1"/>
    <w:rsid w:val="0FBD4E87"/>
    <w:rsid w:val="0FCD41F0"/>
    <w:rsid w:val="0FD54089"/>
    <w:rsid w:val="0FEB63E4"/>
    <w:rsid w:val="0FFD7CE6"/>
    <w:rsid w:val="106D2F64"/>
    <w:rsid w:val="108E3427"/>
    <w:rsid w:val="10AF20A9"/>
    <w:rsid w:val="10B63710"/>
    <w:rsid w:val="10C453E6"/>
    <w:rsid w:val="10CE73D1"/>
    <w:rsid w:val="10DF523C"/>
    <w:rsid w:val="10E06A01"/>
    <w:rsid w:val="10E91F38"/>
    <w:rsid w:val="10F10820"/>
    <w:rsid w:val="110E3C0C"/>
    <w:rsid w:val="111C2F7A"/>
    <w:rsid w:val="113D1BC4"/>
    <w:rsid w:val="115170CB"/>
    <w:rsid w:val="11665CA1"/>
    <w:rsid w:val="11951ED6"/>
    <w:rsid w:val="11B23B2E"/>
    <w:rsid w:val="11E42709"/>
    <w:rsid w:val="120C648B"/>
    <w:rsid w:val="120E79C7"/>
    <w:rsid w:val="12321A0C"/>
    <w:rsid w:val="123A29F6"/>
    <w:rsid w:val="125910CE"/>
    <w:rsid w:val="126400FB"/>
    <w:rsid w:val="128216EC"/>
    <w:rsid w:val="128D41F2"/>
    <w:rsid w:val="128D6FC9"/>
    <w:rsid w:val="12A115D7"/>
    <w:rsid w:val="12B54299"/>
    <w:rsid w:val="1301352F"/>
    <w:rsid w:val="13255BB7"/>
    <w:rsid w:val="1327003E"/>
    <w:rsid w:val="132964A6"/>
    <w:rsid w:val="1355592B"/>
    <w:rsid w:val="138115AF"/>
    <w:rsid w:val="13951726"/>
    <w:rsid w:val="139B5716"/>
    <w:rsid w:val="13F63957"/>
    <w:rsid w:val="141E4DAE"/>
    <w:rsid w:val="14270EC9"/>
    <w:rsid w:val="14396509"/>
    <w:rsid w:val="145B7C1B"/>
    <w:rsid w:val="147954B1"/>
    <w:rsid w:val="148D0753"/>
    <w:rsid w:val="14A84152"/>
    <w:rsid w:val="14B169AA"/>
    <w:rsid w:val="14C74BF9"/>
    <w:rsid w:val="14DD2C3C"/>
    <w:rsid w:val="1501578A"/>
    <w:rsid w:val="151279CB"/>
    <w:rsid w:val="151644ED"/>
    <w:rsid w:val="15245B23"/>
    <w:rsid w:val="15251500"/>
    <w:rsid w:val="15372399"/>
    <w:rsid w:val="15587778"/>
    <w:rsid w:val="155B00FE"/>
    <w:rsid w:val="15715E51"/>
    <w:rsid w:val="15766FD9"/>
    <w:rsid w:val="15955ADC"/>
    <w:rsid w:val="15991506"/>
    <w:rsid w:val="159D0BDB"/>
    <w:rsid w:val="15D81D5F"/>
    <w:rsid w:val="15E7692C"/>
    <w:rsid w:val="15F833FC"/>
    <w:rsid w:val="16087E1D"/>
    <w:rsid w:val="161E491A"/>
    <w:rsid w:val="162214C3"/>
    <w:rsid w:val="16984C41"/>
    <w:rsid w:val="169A06C3"/>
    <w:rsid w:val="16A30CF1"/>
    <w:rsid w:val="16D67AD6"/>
    <w:rsid w:val="16EA0FB3"/>
    <w:rsid w:val="17045810"/>
    <w:rsid w:val="17106347"/>
    <w:rsid w:val="17205266"/>
    <w:rsid w:val="1734249F"/>
    <w:rsid w:val="174C1201"/>
    <w:rsid w:val="17701D14"/>
    <w:rsid w:val="17735226"/>
    <w:rsid w:val="17782FC9"/>
    <w:rsid w:val="17830E26"/>
    <w:rsid w:val="17A35D18"/>
    <w:rsid w:val="17A55B74"/>
    <w:rsid w:val="17E07D6C"/>
    <w:rsid w:val="18356E45"/>
    <w:rsid w:val="185E2DE7"/>
    <w:rsid w:val="188A1707"/>
    <w:rsid w:val="189F624C"/>
    <w:rsid w:val="18DB244F"/>
    <w:rsid w:val="18F733EE"/>
    <w:rsid w:val="18FA3AAC"/>
    <w:rsid w:val="18FC6C57"/>
    <w:rsid w:val="19321502"/>
    <w:rsid w:val="193266A8"/>
    <w:rsid w:val="193464F6"/>
    <w:rsid w:val="193C53A1"/>
    <w:rsid w:val="1943712A"/>
    <w:rsid w:val="194D680A"/>
    <w:rsid w:val="1959372B"/>
    <w:rsid w:val="197D37A1"/>
    <w:rsid w:val="1994584F"/>
    <w:rsid w:val="199625D6"/>
    <w:rsid w:val="19AD2183"/>
    <w:rsid w:val="19E96CF6"/>
    <w:rsid w:val="19F3005A"/>
    <w:rsid w:val="1A1C66C0"/>
    <w:rsid w:val="1A215255"/>
    <w:rsid w:val="1A3B2E98"/>
    <w:rsid w:val="1A42393B"/>
    <w:rsid w:val="1A4D2796"/>
    <w:rsid w:val="1A6B17F3"/>
    <w:rsid w:val="1A6F4814"/>
    <w:rsid w:val="1A793A5B"/>
    <w:rsid w:val="1AA61BD8"/>
    <w:rsid w:val="1AAD45DE"/>
    <w:rsid w:val="1AB0288B"/>
    <w:rsid w:val="1ABD562F"/>
    <w:rsid w:val="1ABE01DD"/>
    <w:rsid w:val="1AD1724F"/>
    <w:rsid w:val="1AD4630B"/>
    <w:rsid w:val="1AFE0D75"/>
    <w:rsid w:val="1AFE79C1"/>
    <w:rsid w:val="1B046F80"/>
    <w:rsid w:val="1B2829E9"/>
    <w:rsid w:val="1B3267B5"/>
    <w:rsid w:val="1B370A43"/>
    <w:rsid w:val="1B40161D"/>
    <w:rsid w:val="1B441859"/>
    <w:rsid w:val="1B6606B1"/>
    <w:rsid w:val="1B684130"/>
    <w:rsid w:val="1B8D30B6"/>
    <w:rsid w:val="1BB634D3"/>
    <w:rsid w:val="1BE0775F"/>
    <w:rsid w:val="1BFB1CA3"/>
    <w:rsid w:val="1C03557B"/>
    <w:rsid w:val="1C3C5E92"/>
    <w:rsid w:val="1C5C138A"/>
    <w:rsid w:val="1C5E7925"/>
    <w:rsid w:val="1CCE26B8"/>
    <w:rsid w:val="1CFD070F"/>
    <w:rsid w:val="1D0C0167"/>
    <w:rsid w:val="1D2C2D75"/>
    <w:rsid w:val="1D426664"/>
    <w:rsid w:val="1D5F6196"/>
    <w:rsid w:val="1D6132A5"/>
    <w:rsid w:val="1D784968"/>
    <w:rsid w:val="1D8573DA"/>
    <w:rsid w:val="1D8E56D5"/>
    <w:rsid w:val="1D98019D"/>
    <w:rsid w:val="1DE86345"/>
    <w:rsid w:val="1E173D69"/>
    <w:rsid w:val="1E205195"/>
    <w:rsid w:val="1E262F73"/>
    <w:rsid w:val="1E292C5A"/>
    <w:rsid w:val="1E457F0A"/>
    <w:rsid w:val="1E7A43DA"/>
    <w:rsid w:val="1E960F47"/>
    <w:rsid w:val="1E9818C3"/>
    <w:rsid w:val="1EAA132C"/>
    <w:rsid w:val="1EC96A2C"/>
    <w:rsid w:val="1ECC1327"/>
    <w:rsid w:val="1EDD5581"/>
    <w:rsid w:val="1EFB77D4"/>
    <w:rsid w:val="1EFE1594"/>
    <w:rsid w:val="1F0C0619"/>
    <w:rsid w:val="1F1956C0"/>
    <w:rsid w:val="1F1A6031"/>
    <w:rsid w:val="1F3B4FE7"/>
    <w:rsid w:val="1F950E13"/>
    <w:rsid w:val="1F9774AB"/>
    <w:rsid w:val="1FB6755C"/>
    <w:rsid w:val="1FE25784"/>
    <w:rsid w:val="1FE7539E"/>
    <w:rsid w:val="1FFC34B3"/>
    <w:rsid w:val="20036D13"/>
    <w:rsid w:val="200A7EAB"/>
    <w:rsid w:val="20111414"/>
    <w:rsid w:val="20174BE4"/>
    <w:rsid w:val="20342497"/>
    <w:rsid w:val="20671BE0"/>
    <w:rsid w:val="20727BB4"/>
    <w:rsid w:val="207421BF"/>
    <w:rsid w:val="20963CB8"/>
    <w:rsid w:val="209B0B03"/>
    <w:rsid w:val="20A01C32"/>
    <w:rsid w:val="20A81A1B"/>
    <w:rsid w:val="20B07FB6"/>
    <w:rsid w:val="20B646FB"/>
    <w:rsid w:val="20B85E0A"/>
    <w:rsid w:val="213B74B1"/>
    <w:rsid w:val="213E2E90"/>
    <w:rsid w:val="215A2310"/>
    <w:rsid w:val="218E6DF8"/>
    <w:rsid w:val="218F40D2"/>
    <w:rsid w:val="21A54256"/>
    <w:rsid w:val="21B71015"/>
    <w:rsid w:val="21DE318A"/>
    <w:rsid w:val="21EF5B80"/>
    <w:rsid w:val="21F93A9D"/>
    <w:rsid w:val="222E109B"/>
    <w:rsid w:val="22576990"/>
    <w:rsid w:val="227178B5"/>
    <w:rsid w:val="227C57AB"/>
    <w:rsid w:val="22860852"/>
    <w:rsid w:val="22A85759"/>
    <w:rsid w:val="22AF57B9"/>
    <w:rsid w:val="22B10260"/>
    <w:rsid w:val="22B14476"/>
    <w:rsid w:val="22F47480"/>
    <w:rsid w:val="231E7D98"/>
    <w:rsid w:val="23207A3F"/>
    <w:rsid w:val="232C145A"/>
    <w:rsid w:val="232E52FD"/>
    <w:rsid w:val="233D2A73"/>
    <w:rsid w:val="234B671B"/>
    <w:rsid w:val="23642FCD"/>
    <w:rsid w:val="236C50A2"/>
    <w:rsid w:val="236F73F7"/>
    <w:rsid w:val="238C4187"/>
    <w:rsid w:val="23DE1C48"/>
    <w:rsid w:val="23EA4F69"/>
    <w:rsid w:val="240210CD"/>
    <w:rsid w:val="240E1E5D"/>
    <w:rsid w:val="24486713"/>
    <w:rsid w:val="24762229"/>
    <w:rsid w:val="24A96E8D"/>
    <w:rsid w:val="24BF09F7"/>
    <w:rsid w:val="24C668D6"/>
    <w:rsid w:val="24DD66EF"/>
    <w:rsid w:val="252D53FE"/>
    <w:rsid w:val="253525D4"/>
    <w:rsid w:val="25516669"/>
    <w:rsid w:val="25644070"/>
    <w:rsid w:val="256B580A"/>
    <w:rsid w:val="25756D36"/>
    <w:rsid w:val="25BB0D62"/>
    <w:rsid w:val="25CB5761"/>
    <w:rsid w:val="25D24FC7"/>
    <w:rsid w:val="25EC2D81"/>
    <w:rsid w:val="25EF6C92"/>
    <w:rsid w:val="25FD284B"/>
    <w:rsid w:val="26571BF6"/>
    <w:rsid w:val="26667E05"/>
    <w:rsid w:val="26704FCD"/>
    <w:rsid w:val="26A55178"/>
    <w:rsid w:val="26A97F5C"/>
    <w:rsid w:val="26D11723"/>
    <w:rsid w:val="26ED612E"/>
    <w:rsid w:val="26F8562F"/>
    <w:rsid w:val="2723740D"/>
    <w:rsid w:val="27334E4C"/>
    <w:rsid w:val="27466343"/>
    <w:rsid w:val="276D1E8F"/>
    <w:rsid w:val="277057A2"/>
    <w:rsid w:val="277211F6"/>
    <w:rsid w:val="27812060"/>
    <w:rsid w:val="27AC48BA"/>
    <w:rsid w:val="27AE0EC2"/>
    <w:rsid w:val="27BE0EE6"/>
    <w:rsid w:val="27E53341"/>
    <w:rsid w:val="280B38CE"/>
    <w:rsid w:val="28174DBE"/>
    <w:rsid w:val="283B01DE"/>
    <w:rsid w:val="287E6BD8"/>
    <w:rsid w:val="28A825A9"/>
    <w:rsid w:val="28AF5678"/>
    <w:rsid w:val="28B11632"/>
    <w:rsid w:val="28B76357"/>
    <w:rsid w:val="28F222DF"/>
    <w:rsid w:val="29162832"/>
    <w:rsid w:val="29177195"/>
    <w:rsid w:val="29206EB8"/>
    <w:rsid w:val="29387837"/>
    <w:rsid w:val="293E70AF"/>
    <w:rsid w:val="295627DA"/>
    <w:rsid w:val="29595666"/>
    <w:rsid w:val="29751601"/>
    <w:rsid w:val="297531D0"/>
    <w:rsid w:val="29871321"/>
    <w:rsid w:val="29874881"/>
    <w:rsid w:val="29B475A6"/>
    <w:rsid w:val="29BF0F1D"/>
    <w:rsid w:val="29CA5929"/>
    <w:rsid w:val="29D401BB"/>
    <w:rsid w:val="29DB7C1C"/>
    <w:rsid w:val="29E325E0"/>
    <w:rsid w:val="2A1C68F1"/>
    <w:rsid w:val="2A2A3632"/>
    <w:rsid w:val="2A34755D"/>
    <w:rsid w:val="2A445B54"/>
    <w:rsid w:val="2A45070B"/>
    <w:rsid w:val="2A452503"/>
    <w:rsid w:val="2AA332B6"/>
    <w:rsid w:val="2B090ACB"/>
    <w:rsid w:val="2B355282"/>
    <w:rsid w:val="2B3A7BF8"/>
    <w:rsid w:val="2B444A94"/>
    <w:rsid w:val="2B5F10D8"/>
    <w:rsid w:val="2B825290"/>
    <w:rsid w:val="2B93404B"/>
    <w:rsid w:val="2BA936A8"/>
    <w:rsid w:val="2BBB2B4B"/>
    <w:rsid w:val="2BD32AC2"/>
    <w:rsid w:val="2BD86EDA"/>
    <w:rsid w:val="2BEA7F4E"/>
    <w:rsid w:val="2BFD72F2"/>
    <w:rsid w:val="2C1800C2"/>
    <w:rsid w:val="2C315A5A"/>
    <w:rsid w:val="2C4752F1"/>
    <w:rsid w:val="2C4B1C25"/>
    <w:rsid w:val="2C6543BF"/>
    <w:rsid w:val="2C68382C"/>
    <w:rsid w:val="2C924B99"/>
    <w:rsid w:val="2CC11CBD"/>
    <w:rsid w:val="2CFD257E"/>
    <w:rsid w:val="2D1E2636"/>
    <w:rsid w:val="2D711CEE"/>
    <w:rsid w:val="2D9E56F5"/>
    <w:rsid w:val="2DA77632"/>
    <w:rsid w:val="2DB21790"/>
    <w:rsid w:val="2DBB513A"/>
    <w:rsid w:val="2DE12AD5"/>
    <w:rsid w:val="2DE53E67"/>
    <w:rsid w:val="2DEA072A"/>
    <w:rsid w:val="2DF0503E"/>
    <w:rsid w:val="2DFA35CE"/>
    <w:rsid w:val="2E142347"/>
    <w:rsid w:val="2E2B716B"/>
    <w:rsid w:val="2E620EB2"/>
    <w:rsid w:val="2E667F96"/>
    <w:rsid w:val="2E7339FC"/>
    <w:rsid w:val="2E756576"/>
    <w:rsid w:val="2E803CE8"/>
    <w:rsid w:val="2E8226AB"/>
    <w:rsid w:val="2E916CDE"/>
    <w:rsid w:val="2ED3528F"/>
    <w:rsid w:val="2EDE2C2F"/>
    <w:rsid w:val="2EE93122"/>
    <w:rsid w:val="2EEE3743"/>
    <w:rsid w:val="2EFF3921"/>
    <w:rsid w:val="2F2F5405"/>
    <w:rsid w:val="2F387577"/>
    <w:rsid w:val="2F745341"/>
    <w:rsid w:val="2F7A0379"/>
    <w:rsid w:val="2F8C6497"/>
    <w:rsid w:val="2FC3466D"/>
    <w:rsid w:val="2FD065E6"/>
    <w:rsid w:val="2FD96870"/>
    <w:rsid w:val="2FED33B9"/>
    <w:rsid w:val="2FF24E94"/>
    <w:rsid w:val="30187867"/>
    <w:rsid w:val="302B6071"/>
    <w:rsid w:val="304A4C42"/>
    <w:rsid w:val="30580BC9"/>
    <w:rsid w:val="307465B1"/>
    <w:rsid w:val="308716F9"/>
    <w:rsid w:val="309805B6"/>
    <w:rsid w:val="30AD21DC"/>
    <w:rsid w:val="30C27F4E"/>
    <w:rsid w:val="30FD4E4E"/>
    <w:rsid w:val="311E2ED7"/>
    <w:rsid w:val="311E36B8"/>
    <w:rsid w:val="31412CCB"/>
    <w:rsid w:val="315619EE"/>
    <w:rsid w:val="315B709B"/>
    <w:rsid w:val="315C449C"/>
    <w:rsid w:val="31684A32"/>
    <w:rsid w:val="31697245"/>
    <w:rsid w:val="316E6677"/>
    <w:rsid w:val="31B23EFF"/>
    <w:rsid w:val="31B6561D"/>
    <w:rsid w:val="31B82709"/>
    <w:rsid w:val="31D05482"/>
    <w:rsid w:val="31F70723"/>
    <w:rsid w:val="320C1861"/>
    <w:rsid w:val="320F119D"/>
    <w:rsid w:val="32135FF7"/>
    <w:rsid w:val="321E01D7"/>
    <w:rsid w:val="322057A3"/>
    <w:rsid w:val="32303E53"/>
    <w:rsid w:val="32363C98"/>
    <w:rsid w:val="323A469B"/>
    <w:rsid w:val="32400B34"/>
    <w:rsid w:val="326A6EFF"/>
    <w:rsid w:val="327B5D60"/>
    <w:rsid w:val="327F60E6"/>
    <w:rsid w:val="32815244"/>
    <w:rsid w:val="32882EC9"/>
    <w:rsid w:val="329D0F2A"/>
    <w:rsid w:val="329D565A"/>
    <w:rsid w:val="329E6876"/>
    <w:rsid w:val="32AE5375"/>
    <w:rsid w:val="32E02E93"/>
    <w:rsid w:val="32F347CF"/>
    <w:rsid w:val="333015F2"/>
    <w:rsid w:val="333E059D"/>
    <w:rsid w:val="334178CC"/>
    <w:rsid w:val="334B6320"/>
    <w:rsid w:val="33590616"/>
    <w:rsid w:val="335C6FA2"/>
    <w:rsid w:val="3390519F"/>
    <w:rsid w:val="33995376"/>
    <w:rsid w:val="33B911E5"/>
    <w:rsid w:val="33C1580A"/>
    <w:rsid w:val="33C73964"/>
    <w:rsid w:val="33CA62A5"/>
    <w:rsid w:val="33CF7C3A"/>
    <w:rsid w:val="33D90556"/>
    <w:rsid w:val="33D934D4"/>
    <w:rsid w:val="33FE2F6A"/>
    <w:rsid w:val="340E07E5"/>
    <w:rsid w:val="341B15C5"/>
    <w:rsid w:val="34235BF7"/>
    <w:rsid w:val="342C4EF9"/>
    <w:rsid w:val="342F061F"/>
    <w:rsid w:val="34472B32"/>
    <w:rsid w:val="344F012B"/>
    <w:rsid w:val="34AE330D"/>
    <w:rsid w:val="34CD0B93"/>
    <w:rsid w:val="34F2760D"/>
    <w:rsid w:val="34FF7416"/>
    <w:rsid w:val="351078BA"/>
    <w:rsid w:val="35146E6E"/>
    <w:rsid w:val="351C2638"/>
    <w:rsid w:val="35361885"/>
    <w:rsid w:val="353960D2"/>
    <w:rsid w:val="35531DB4"/>
    <w:rsid w:val="3564407C"/>
    <w:rsid w:val="35785B3C"/>
    <w:rsid w:val="357B3A20"/>
    <w:rsid w:val="358C5FA8"/>
    <w:rsid w:val="35C1215F"/>
    <w:rsid w:val="35C15DF1"/>
    <w:rsid w:val="35C85275"/>
    <w:rsid w:val="35C94293"/>
    <w:rsid w:val="35DE0B48"/>
    <w:rsid w:val="35FF165D"/>
    <w:rsid w:val="3600510D"/>
    <w:rsid w:val="36074A7F"/>
    <w:rsid w:val="36257888"/>
    <w:rsid w:val="363D0C71"/>
    <w:rsid w:val="36435DAD"/>
    <w:rsid w:val="365E59FF"/>
    <w:rsid w:val="36803301"/>
    <w:rsid w:val="36923549"/>
    <w:rsid w:val="36A21CFE"/>
    <w:rsid w:val="36A45BD0"/>
    <w:rsid w:val="36B46F9F"/>
    <w:rsid w:val="36B75FBF"/>
    <w:rsid w:val="36BD0C45"/>
    <w:rsid w:val="36BE5D99"/>
    <w:rsid w:val="36E903C3"/>
    <w:rsid w:val="36F60407"/>
    <w:rsid w:val="371D4FDD"/>
    <w:rsid w:val="374B5A83"/>
    <w:rsid w:val="375E535C"/>
    <w:rsid w:val="37622868"/>
    <w:rsid w:val="377347DA"/>
    <w:rsid w:val="378B1854"/>
    <w:rsid w:val="37985945"/>
    <w:rsid w:val="3799261E"/>
    <w:rsid w:val="37A836C8"/>
    <w:rsid w:val="37C2613F"/>
    <w:rsid w:val="37E00298"/>
    <w:rsid w:val="38181670"/>
    <w:rsid w:val="38341920"/>
    <w:rsid w:val="383C09C6"/>
    <w:rsid w:val="38494CA3"/>
    <w:rsid w:val="3861121D"/>
    <w:rsid w:val="38B302F9"/>
    <w:rsid w:val="38C80E95"/>
    <w:rsid w:val="38EC38B3"/>
    <w:rsid w:val="38F12CD3"/>
    <w:rsid w:val="38F94775"/>
    <w:rsid w:val="39063B6F"/>
    <w:rsid w:val="39284DF0"/>
    <w:rsid w:val="392971ED"/>
    <w:rsid w:val="39325651"/>
    <w:rsid w:val="3938780A"/>
    <w:rsid w:val="39777E98"/>
    <w:rsid w:val="39873A0D"/>
    <w:rsid w:val="39892483"/>
    <w:rsid w:val="39E07908"/>
    <w:rsid w:val="3A090DDC"/>
    <w:rsid w:val="3A11495C"/>
    <w:rsid w:val="3A2445FF"/>
    <w:rsid w:val="3A4227D7"/>
    <w:rsid w:val="3A4D6EBA"/>
    <w:rsid w:val="3A505E1B"/>
    <w:rsid w:val="3A573B82"/>
    <w:rsid w:val="3A6E7A25"/>
    <w:rsid w:val="3A872856"/>
    <w:rsid w:val="3AA436BD"/>
    <w:rsid w:val="3AA73397"/>
    <w:rsid w:val="3AAF7C15"/>
    <w:rsid w:val="3AB6378E"/>
    <w:rsid w:val="3ADD58E5"/>
    <w:rsid w:val="3B033977"/>
    <w:rsid w:val="3B15304E"/>
    <w:rsid w:val="3B1D1535"/>
    <w:rsid w:val="3B3452E9"/>
    <w:rsid w:val="3B345950"/>
    <w:rsid w:val="3B3763D1"/>
    <w:rsid w:val="3B382608"/>
    <w:rsid w:val="3B395A00"/>
    <w:rsid w:val="3B4200A1"/>
    <w:rsid w:val="3B4D246A"/>
    <w:rsid w:val="3B503287"/>
    <w:rsid w:val="3B7009F3"/>
    <w:rsid w:val="3B7B62BB"/>
    <w:rsid w:val="3BB11759"/>
    <w:rsid w:val="3BB66F02"/>
    <w:rsid w:val="3BC27726"/>
    <w:rsid w:val="3BC9358E"/>
    <w:rsid w:val="3C127A92"/>
    <w:rsid w:val="3C276A75"/>
    <w:rsid w:val="3C2F6E1E"/>
    <w:rsid w:val="3C303402"/>
    <w:rsid w:val="3C4F64BA"/>
    <w:rsid w:val="3C5C1A96"/>
    <w:rsid w:val="3C62364D"/>
    <w:rsid w:val="3C677BC6"/>
    <w:rsid w:val="3CB219A4"/>
    <w:rsid w:val="3CBB0815"/>
    <w:rsid w:val="3CC70396"/>
    <w:rsid w:val="3CDA245A"/>
    <w:rsid w:val="3CF52DA7"/>
    <w:rsid w:val="3D197324"/>
    <w:rsid w:val="3D1E06B7"/>
    <w:rsid w:val="3D2264CA"/>
    <w:rsid w:val="3D2F1A1E"/>
    <w:rsid w:val="3D43080E"/>
    <w:rsid w:val="3D5E0863"/>
    <w:rsid w:val="3D6A5F12"/>
    <w:rsid w:val="3D7B2918"/>
    <w:rsid w:val="3DBA7A6C"/>
    <w:rsid w:val="3DD8540B"/>
    <w:rsid w:val="3DF81D2A"/>
    <w:rsid w:val="3E0A6567"/>
    <w:rsid w:val="3E0E5A6C"/>
    <w:rsid w:val="3E39728F"/>
    <w:rsid w:val="3E6002A5"/>
    <w:rsid w:val="3E967FC0"/>
    <w:rsid w:val="3EA33374"/>
    <w:rsid w:val="3EDA0523"/>
    <w:rsid w:val="3EF1644C"/>
    <w:rsid w:val="3F9C5773"/>
    <w:rsid w:val="3FAA005D"/>
    <w:rsid w:val="3FC108EA"/>
    <w:rsid w:val="3FD75DEF"/>
    <w:rsid w:val="3FE5521E"/>
    <w:rsid w:val="4041130F"/>
    <w:rsid w:val="404967A1"/>
    <w:rsid w:val="40714F85"/>
    <w:rsid w:val="407A6407"/>
    <w:rsid w:val="4094502C"/>
    <w:rsid w:val="409C548B"/>
    <w:rsid w:val="40A71C96"/>
    <w:rsid w:val="40D47FD5"/>
    <w:rsid w:val="40D84160"/>
    <w:rsid w:val="41185D81"/>
    <w:rsid w:val="41210789"/>
    <w:rsid w:val="413F1729"/>
    <w:rsid w:val="4147171B"/>
    <w:rsid w:val="414A2D7B"/>
    <w:rsid w:val="41807186"/>
    <w:rsid w:val="419F6662"/>
    <w:rsid w:val="41B30C01"/>
    <w:rsid w:val="41F10CC3"/>
    <w:rsid w:val="41F26675"/>
    <w:rsid w:val="4200449D"/>
    <w:rsid w:val="42076FAD"/>
    <w:rsid w:val="42237107"/>
    <w:rsid w:val="423A3BCC"/>
    <w:rsid w:val="42405E92"/>
    <w:rsid w:val="424E57D2"/>
    <w:rsid w:val="425822C4"/>
    <w:rsid w:val="42624987"/>
    <w:rsid w:val="427256CC"/>
    <w:rsid w:val="42AE7FD1"/>
    <w:rsid w:val="42B26C49"/>
    <w:rsid w:val="42BE5345"/>
    <w:rsid w:val="42C92AF6"/>
    <w:rsid w:val="42DB295D"/>
    <w:rsid w:val="42ED02FC"/>
    <w:rsid w:val="433A6FE6"/>
    <w:rsid w:val="43480868"/>
    <w:rsid w:val="434C1276"/>
    <w:rsid w:val="4350713C"/>
    <w:rsid w:val="43557EEF"/>
    <w:rsid w:val="435C2393"/>
    <w:rsid w:val="436653E0"/>
    <w:rsid w:val="437714BD"/>
    <w:rsid w:val="437B7CF4"/>
    <w:rsid w:val="4385522C"/>
    <w:rsid w:val="43B26869"/>
    <w:rsid w:val="43C4431A"/>
    <w:rsid w:val="43DA4ADB"/>
    <w:rsid w:val="440A1C20"/>
    <w:rsid w:val="442073EE"/>
    <w:rsid w:val="44497B83"/>
    <w:rsid w:val="444A39F2"/>
    <w:rsid w:val="44664569"/>
    <w:rsid w:val="4469594B"/>
    <w:rsid w:val="448E41DC"/>
    <w:rsid w:val="449024B1"/>
    <w:rsid w:val="44B951CC"/>
    <w:rsid w:val="44CD14E0"/>
    <w:rsid w:val="44F20B0B"/>
    <w:rsid w:val="44F279C3"/>
    <w:rsid w:val="44F724E5"/>
    <w:rsid w:val="44FB4851"/>
    <w:rsid w:val="450C79EB"/>
    <w:rsid w:val="451D166B"/>
    <w:rsid w:val="452D591E"/>
    <w:rsid w:val="452E5F4C"/>
    <w:rsid w:val="455E7204"/>
    <w:rsid w:val="45612018"/>
    <w:rsid w:val="458946E9"/>
    <w:rsid w:val="45912517"/>
    <w:rsid w:val="459E0CCC"/>
    <w:rsid w:val="45A47C0E"/>
    <w:rsid w:val="45AC0F39"/>
    <w:rsid w:val="45DB554A"/>
    <w:rsid w:val="45DD1FE2"/>
    <w:rsid w:val="45FE7038"/>
    <w:rsid w:val="46577FD6"/>
    <w:rsid w:val="467A2DE5"/>
    <w:rsid w:val="4685484C"/>
    <w:rsid w:val="469B19EA"/>
    <w:rsid w:val="46AB27F6"/>
    <w:rsid w:val="46D1275C"/>
    <w:rsid w:val="46D955A7"/>
    <w:rsid w:val="46E47359"/>
    <w:rsid w:val="46F32B98"/>
    <w:rsid w:val="47052344"/>
    <w:rsid w:val="470A1642"/>
    <w:rsid w:val="47133957"/>
    <w:rsid w:val="471748B1"/>
    <w:rsid w:val="472B1047"/>
    <w:rsid w:val="47312E65"/>
    <w:rsid w:val="475F71C1"/>
    <w:rsid w:val="47692810"/>
    <w:rsid w:val="478566E7"/>
    <w:rsid w:val="4797746B"/>
    <w:rsid w:val="47A07E0C"/>
    <w:rsid w:val="47A71B5B"/>
    <w:rsid w:val="47D962D7"/>
    <w:rsid w:val="47E30E5E"/>
    <w:rsid w:val="47EB0F67"/>
    <w:rsid w:val="47EE2537"/>
    <w:rsid w:val="48173F01"/>
    <w:rsid w:val="482E20D9"/>
    <w:rsid w:val="483416BA"/>
    <w:rsid w:val="48391333"/>
    <w:rsid w:val="4870272E"/>
    <w:rsid w:val="48721B08"/>
    <w:rsid w:val="48BC4D6E"/>
    <w:rsid w:val="48C23A0B"/>
    <w:rsid w:val="48D65065"/>
    <w:rsid w:val="48D719A4"/>
    <w:rsid w:val="48EF69D1"/>
    <w:rsid w:val="48F05B95"/>
    <w:rsid w:val="49096694"/>
    <w:rsid w:val="49331971"/>
    <w:rsid w:val="497E4A22"/>
    <w:rsid w:val="49A81AC7"/>
    <w:rsid w:val="49BD79D0"/>
    <w:rsid w:val="49DC7715"/>
    <w:rsid w:val="49DD1FF5"/>
    <w:rsid w:val="49ED480A"/>
    <w:rsid w:val="4A01410C"/>
    <w:rsid w:val="4A023139"/>
    <w:rsid w:val="4A086E28"/>
    <w:rsid w:val="4A1F6753"/>
    <w:rsid w:val="4A523BB8"/>
    <w:rsid w:val="4A622079"/>
    <w:rsid w:val="4A7B576F"/>
    <w:rsid w:val="4AF561A9"/>
    <w:rsid w:val="4B08477A"/>
    <w:rsid w:val="4B1836E5"/>
    <w:rsid w:val="4B2608FD"/>
    <w:rsid w:val="4B275ED4"/>
    <w:rsid w:val="4B3464EE"/>
    <w:rsid w:val="4B481704"/>
    <w:rsid w:val="4B5160DF"/>
    <w:rsid w:val="4B716087"/>
    <w:rsid w:val="4BB41149"/>
    <w:rsid w:val="4BB82E1C"/>
    <w:rsid w:val="4C182A59"/>
    <w:rsid w:val="4C1A4486"/>
    <w:rsid w:val="4C254ABD"/>
    <w:rsid w:val="4C347834"/>
    <w:rsid w:val="4C4A0649"/>
    <w:rsid w:val="4C4E027E"/>
    <w:rsid w:val="4C595D7C"/>
    <w:rsid w:val="4C7223A4"/>
    <w:rsid w:val="4C7757EC"/>
    <w:rsid w:val="4C7E5ECA"/>
    <w:rsid w:val="4C876AA5"/>
    <w:rsid w:val="4CB83BE7"/>
    <w:rsid w:val="4CFE1A2C"/>
    <w:rsid w:val="4D061079"/>
    <w:rsid w:val="4D0E00FB"/>
    <w:rsid w:val="4D176606"/>
    <w:rsid w:val="4D197543"/>
    <w:rsid w:val="4D2A5813"/>
    <w:rsid w:val="4D4F36FD"/>
    <w:rsid w:val="4D6469A7"/>
    <w:rsid w:val="4D8C73A2"/>
    <w:rsid w:val="4D9315DF"/>
    <w:rsid w:val="4DA404F6"/>
    <w:rsid w:val="4DA90F3F"/>
    <w:rsid w:val="4DC57E63"/>
    <w:rsid w:val="4DC76339"/>
    <w:rsid w:val="4DC8411F"/>
    <w:rsid w:val="4DEC4FB0"/>
    <w:rsid w:val="4DFA288A"/>
    <w:rsid w:val="4DFF05F6"/>
    <w:rsid w:val="4E075D8A"/>
    <w:rsid w:val="4E097D36"/>
    <w:rsid w:val="4E4C0DFD"/>
    <w:rsid w:val="4E4D5283"/>
    <w:rsid w:val="4E5109AB"/>
    <w:rsid w:val="4E752312"/>
    <w:rsid w:val="4E8751EE"/>
    <w:rsid w:val="4E8972D5"/>
    <w:rsid w:val="4EAE7504"/>
    <w:rsid w:val="4EC00FAD"/>
    <w:rsid w:val="4F000265"/>
    <w:rsid w:val="4F047255"/>
    <w:rsid w:val="4F083928"/>
    <w:rsid w:val="4F4628B7"/>
    <w:rsid w:val="4F5A68A9"/>
    <w:rsid w:val="4F6838CD"/>
    <w:rsid w:val="4F73222C"/>
    <w:rsid w:val="4F77274F"/>
    <w:rsid w:val="4F824919"/>
    <w:rsid w:val="4F89688D"/>
    <w:rsid w:val="4F8D4BDC"/>
    <w:rsid w:val="4F9843DC"/>
    <w:rsid w:val="4FC62A8C"/>
    <w:rsid w:val="4FD1180D"/>
    <w:rsid w:val="4FDF30A2"/>
    <w:rsid w:val="4FE20F0D"/>
    <w:rsid w:val="4FE51552"/>
    <w:rsid w:val="50006644"/>
    <w:rsid w:val="5029532C"/>
    <w:rsid w:val="50307A87"/>
    <w:rsid w:val="50504C4B"/>
    <w:rsid w:val="50707007"/>
    <w:rsid w:val="509C6E7C"/>
    <w:rsid w:val="50A37629"/>
    <w:rsid w:val="50B14CCD"/>
    <w:rsid w:val="50D0226E"/>
    <w:rsid w:val="50D43E9E"/>
    <w:rsid w:val="50DE6667"/>
    <w:rsid w:val="511367D7"/>
    <w:rsid w:val="512978E2"/>
    <w:rsid w:val="514C5956"/>
    <w:rsid w:val="5162104E"/>
    <w:rsid w:val="518D1E7A"/>
    <w:rsid w:val="51900259"/>
    <w:rsid w:val="5192770D"/>
    <w:rsid w:val="51B83F21"/>
    <w:rsid w:val="51B9486A"/>
    <w:rsid w:val="51BC6C05"/>
    <w:rsid w:val="524349D3"/>
    <w:rsid w:val="528E1373"/>
    <w:rsid w:val="52BA2535"/>
    <w:rsid w:val="52F85E4C"/>
    <w:rsid w:val="536250EA"/>
    <w:rsid w:val="53A039CC"/>
    <w:rsid w:val="53A1505A"/>
    <w:rsid w:val="53C86A15"/>
    <w:rsid w:val="53DC4009"/>
    <w:rsid w:val="53DF67AC"/>
    <w:rsid w:val="53E82C06"/>
    <w:rsid w:val="53F03F0F"/>
    <w:rsid w:val="54017416"/>
    <w:rsid w:val="54063E08"/>
    <w:rsid w:val="541971AF"/>
    <w:rsid w:val="542541D8"/>
    <w:rsid w:val="54337AD0"/>
    <w:rsid w:val="543437E8"/>
    <w:rsid w:val="54370E88"/>
    <w:rsid w:val="543E5EB8"/>
    <w:rsid w:val="545033D7"/>
    <w:rsid w:val="54504327"/>
    <w:rsid w:val="547F29A9"/>
    <w:rsid w:val="54847991"/>
    <w:rsid w:val="548803C2"/>
    <w:rsid w:val="54AF6350"/>
    <w:rsid w:val="54F73313"/>
    <w:rsid w:val="54F80955"/>
    <w:rsid w:val="54F902BD"/>
    <w:rsid w:val="54F90F56"/>
    <w:rsid w:val="551A4555"/>
    <w:rsid w:val="552F3186"/>
    <w:rsid w:val="555170A7"/>
    <w:rsid w:val="5587536D"/>
    <w:rsid w:val="558C7FBA"/>
    <w:rsid w:val="559B174B"/>
    <w:rsid w:val="55C47849"/>
    <w:rsid w:val="55CE0CF4"/>
    <w:rsid w:val="55FD1BBB"/>
    <w:rsid w:val="560E15F1"/>
    <w:rsid w:val="56234A53"/>
    <w:rsid w:val="56277334"/>
    <w:rsid w:val="56340A62"/>
    <w:rsid w:val="56602B8B"/>
    <w:rsid w:val="56633C1A"/>
    <w:rsid w:val="56B22A9C"/>
    <w:rsid w:val="56B471DF"/>
    <w:rsid w:val="56B91435"/>
    <w:rsid w:val="56F51DD8"/>
    <w:rsid w:val="57012BCC"/>
    <w:rsid w:val="570F757A"/>
    <w:rsid w:val="57257C10"/>
    <w:rsid w:val="573A7785"/>
    <w:rsid w:val="57461361"/>
    <w:rsid w:val="57774BF4"/>
    <w:rsid w:val="57A06013"/>
    <w:rsid w:val="57B72A76"/>
    <w:rsid w:val="57BC68EE"/>
    <w:rsid w:val="57C3426C"/>
    <w:rsid w:val="57CE1E6F"/>
    <w:rsid w:val="57CE1F93"/>
    <w:rsid w:val="57DF0BF0"/>
    <w:rsid w:val="57E0655D"/>
    <w:rsid w:val="57EC586C"/>
    <w:rsid w:val="57EC78BB"/>
    <w:rsid w:val="57EE4446"/>
    <w:rsid w:val="57EF51D8"/>
    <w:rsid w:val="5835691E"/>
    <w:rsid w:val="584A6390"/>
    <w:rsid w:val="584F228C"/>
    <w:rsid w:val="587471A1"/>
    <w:rsid w:val="58773629"/>
    <w:rsid w:val="588743D1"/>
    <w:rsid w:val="5887701A"/>
    <w:rsid w:val="58893B41"/>
    <w:rsid w:val="58F96AE9"/>
    <w:rsid w:val="58FE3850"/>
    <w:rsid w:val="59077622"/>
    <w:rsid w:val="590B2E55"/>
    <w:rsid w:val="590D0F98"/>
    <w:rsid w:val="591378EA"/>
    <w:rsid w:val="596103DF"/>
    <w:rsid w:val="597745F1"/>
    <w:rsid w:val="597768D4"/>
    <w:rsid w:val="59854BD4"/>
    <w:rsid w:val="5996188C"/>
    <w:rsid w:val="59C0439F"/>
    <w:rsid w:val="59D1654D"/>
    <w:rsid w:val="59D91C50"/>
    <w:rsid w:val="59EE5B8D"/>
    <w:rsid w:val="59F35674"/>
    <w:rsid w:val="5A3E3CD2"/>
    <w:rsid w:val="5A4B384B"/>
    <w:rsid w:val="5A5A23A7"/>
    <w:rsid w:val="5A5E7305"/>
    <w:rsid w:val="5A755946"/>
    <w:rsid w:val="5A8027F3"/>
    <w:rsid w:val="5ABB3F3F"/>
    <w:rsid w:val="5ABE2233"/>
    <w:rsid w:val="5ACE49FC"/>
    <w:rsid w:val="5B0232B5"/>
    <w:rsid w:val="5B0A7CE7"/>
    <w:rsid w:val="5B4D0865"/>
    <w:rsid w:val="5B7A273C"/>
    <w:rsid w:val="5B8D773F"/>
    <w:rsid w:val="5B926D8C"/>
    <w:rsid w:val="5B9938B6"/>
    <w:rsid w:val="5B9947EA"/>
    <w:rsid w:val="5B9A19FB"/>
    <w:rsid w:val="5BB26418"/>
    <w:rsid w:val="5BB44CED"/>
    <w:rsid w:val="5BBB47D8"/>
    <w:rsid w:val="5BCE33E1"/>
    <w:rsid w:val="5BDB4EDF"/>
    <w:rsid w:val="5BDF5D95"/>
    <w:rsid w:val="5BF725BB"/>
    <w:rsid w:val="5BFE7528"/>
    <w:rsid w:val="5C3D620D"/>
    <w:rsid w:val="5C650A1E"/>
    <w:rsid w:val="5CA23B4B"/>
    <w:rsid w:val="5CAD7A90"/>
    <w:rsid w:val="5CC92BAA"/>
    <w:rsid w:val="5CDB5689"/>
    <w:rsid w:val="5D05765F"/>
    <w:rsid w:val="5D207F23"/>
    <w:rsid w:val="5D553138"/>
    <w:rsid w:val="5D7F3856"/>
    <w:rsid w:val="5DA56CDA"/>
    <w:rsid w:val="5DB07027"/>
    <w:rsid w:val="5DB93C81"/>
    <w:rsid w:val="5DC35DD4"/>
    <w:rsid w:val="5DC866D4"/>
    <w:rsid w:val="5DD666F8"/>
    <w:rsid w:val="5DE16648"/>
    <w:rsid w:val="5DE24238"/>
    <w:rsid w:val="5E047EC7"/>
    <w:rsid w:val="5E2467F1"/>
    <w:rsid w:val="5E59732C"/>
    <w:rsid w:val="5E7D142C"/>
    <w:rsid w:val="5E9D08CF"/>
    <w:rsid w:val="5EAA0456"/>
    <w:rsid w:val="5EF33FC8"/>
    <w:rsid w:val="5F0C2178"/>
    <w:rsid w:val="5F0D11CE"/>
    <w:rsid w:val="5F1A2B43"/>
    <w:rsid w:val="5F65071D"/>
    <w:rsid w:val="5F906724"/>
    <w:rsid w:val="5FB837BB"/>
    <w:rsid w:val="5FCA6083"/>
    <w:rsid w:val="5FCE3E5E"/>
    <w:rsid w:val="5FD60FEE"/>
    <w:rsid w:val="5FE051D6"/>
    <w:rsid w:val="600E6818"/>
    <w:rsid w:val="601B2AEB"/>
    <w:rsid w:val="602C3050"/>
    <w:rsid w:val="6030099F"/>
    <w:rsid w:val="6032623C"/>
    <w:rsid w:val="608701E5"/>
    <w:rsid w:val="608F5287"/>
    <w:rsid w:val="60A52614"/>
    <w:rsid w:val="60B34ABA"/>
    <w:rsid w:val="60C211B9"/>
    <w:rsid w:val="60CB4C6C"/>
    <w:rsid w:val="60CC405A"/>
    <w:rsid w:val="60DC630A"/>
    <w:rsid w:val="60EE2DC6"/>
    <w:rsid w:val="60FD70FC"/>
    <w:rsid w:val="610A12D0"/>
    <w:rsid w:val="61107E45"/>
    <w:rsid w:val="6133302C"/>
    <w:rsid w:val="6147048C"/>
    <w:rsid w:val="615D3475"/>
    <w:rsid w:val="61686CCB"/>
    <w:rsid w:val="618C44D0"/>
    <w:rsid w:val="61E215D8"/>
    <w:rsid w:val="61EC5033"/>
    <w:rsid w:val="621B3775"/>
    <w:rsid w:val="6220353C"/>
    <w:rsid w:val="622E30F7"/>
    <w:rsid w:val="62352EE8"/>
    <w:rsid w:val="62364782"/>
    <w:rsid w:val="625247BE"/>
    <w:rsid w:val="6285053F"/>
    <w:rsid w:val="628916C2"/>
    <w:rsid w:val="628D1D46"/>
    <w:rsid w:val="62DC7B82"/>
    <w:rsid w:val="62F01ED9"/>
    <w:rsid w:val="63211123"/>
    <w:rsid w:val="633A62ED"/>
    <w:rsid w:val="634822F5"/>
    <w:rsid w:val="63515BF8"/>
    <w:rsid w:val="636B3D8A"/>
    <w:rsid w:val="637019EF"/>
    <w:rsid w:val="6394356A"/>
    <w:rsid w:val="63B61B9F"/>
    <w:rsid w:val="63C50EBC"/>
    <w:rsid w:val="63C61B2C"/>
    <w:rsid w:val="63D40BE9"/>
    <w:rsid w:val="63D74F7B"/>
    <w:rsid w:val="63E50025"/>
    <w:rsid w:val="64102431"/>
    <w:rsid w:val="64166C6E"/>
    <w:rsid w:val="64876031"/>
    <w:rsid w:val="648852E4"/>
    <w:rsid w:val="64947C16"/>
    <w:rsid w:val="64970BAF"/>
    <w:rsid w:val="64A121F4"/>
    <w:rsid w:val="64A5243A"/>
    <w:rsid w:val="64AB441A"/>
    <w:rsid w:val="64BE5641"/>
    <w:rsid w:val="64C2067A"/>
    <w:rsid w:val="64E262CE"/>
    <w:rsid w:val="64F531DE"/>
    <w:rsid w:val="65101BEA"/>
    <w:rsid w:val="65175CEA"/>
    <w:rsid w:val="651E1873"/>
    <w:rsid w:val="65367F57"/>
    <w:rsid w:val="65373578"/>
    <w:rsid w:val="6567156F"/>
    <w:rsid w:val="656851EC"/>
    <w:rsid w:val="656A731D"/>
    <w:rsid w:val="658C42D3"/>
    <w:rsid w:val="659813D1"/>
    <w:rsid w:val="65BA4B55"/>
    <w:rsid w:val="65F248C7"/>
    <w:rsid w:val="65F853D9"/>
    <w:rsid w:val="65FC6F1B"/>
    <w:rsid w:val="66180A0B"/>
    <w:rsid w:val="661A6B25"/>
    <w:rsid w:val="661E1587"/>
    <w:rsid w:val="663E6DB6"/>
    <w:rsid w:val="665563B4"/>
    <w:rsid w:val="665F7DE7"/>
    <w:rsid w:val="66660CC1"/>
    <w:rsid w:val="66785E1C"/>
    <w:rsid w:val="66A15C23"/>
    <w:rsid w:val="66B15F58"/>
    <w:rsid w:val="66B65FA4"/>
    <w:rsid w:val="66DE755E"/>
    <w:rsid w:val="66E300DB"/>
    <w:rsid w:val="66E6349D"/>
    <w:rsid w:val="66F638F6"/>
    <w:rsid w:val="670F1612"/>
    <w:rsid w:val="671F124A"/>
    <w:rsid w:val="673E4E26"/>
    <w:rsid w:val="67695728"/>
    <w:rsid w:val="677A33C6"/>
    <w:rsid w:val="678460A1"/>
    <w:rsid w:val="67AC7859"/>
    <w:rsid w:val="67E10B5E"/>
    <w:rsid w:val="68034910"/>
    <w:rsid w:val="68093B71"/>
    <w:rsid w:val="681B5504"/>
    <w:rsid w:val="681F3395"/>
    <w:rsid w:val="681F6961"/>
    <w:rsid w:val="685E07FC"/>
    <w:rsid w:val="68603915"/>
    <w:rsid w:val="68610A2F"/>
    <w:rsid w:val="68805514"/>
    <w:rsid w:val="68831E97"/>
    <w:rsid w:val="688805C7"/>
    <w:rsid w:val="68A660EC"/>
    <w:rsid w:val="68B32746"/>
    <w:rsid w:val="68E91E7D"/>
    <w:rsid w:val="690861D7"/>
    <w:rsid w:val="691F1C81"/>
    <w:rsid w:val="69232C25"/>
    <w:rsid w:val="69316E2F"/>
    <w:rsid w:val="69342909"/>
    <w:rsid w:val="693E4182"/>
    <w:rsid w:val="694118B4"/>
    <w:rsid w:val="694E2071"/>
    <w:rsid w:val="696F0472"/>
    <w:rsid w:val="69766163"/>
    <w:rsid w:val="69766FE4"/>
    <w:rsid w:val="697A3B33"/>
    <w:rsid w:val="69B4161A"/>
    <w:rsid w:val="69BD0328"/>
    <w:rsid w:val="69D44760"/>
    <w:rsid w:val="69D91853"/>
    <w:rsid w:val="69E32A7A"/>
    <w:rsid w:val="69E62CDE"/>
    <w:rsid w:val="69EA4B56"/>
    <w:rsid w:val="6A0A091E"/>
    <w:rsid w:val="6A2258E8"/>
    <w:rsid w:val="6A243740"/>
    <w:rsid w:val="6A520EC7"/>
    <w:rsid w:val="6ADB20D5"/>
    <w:rsid w:val="6AE576F2"/>
    <w:rsid w:val="6AF87E20"/>
    <w:rsid w:val="6AFC2EA9"/>
    <w:rsid w:val="6B2D6CF2"/>
    <w:rsid w:val="6B2D729F"/>
    <w:rsid w:val="6B322639"/>
    <w:rsid w:val="6B3A001C"/>
    <w:rsid w:val="6B404E42"/>
    <w:rsid w:val="6B493274"/>
    <w:rsid w:val="6B52582F"/>
    <w:rsid w:val="6B7333F4"/>
    <w:rsid w:val="6B7C2809"/>
    <w:rsid w:val="6B7F4DA5"/>
    <w:rsid w:val="6BDA0FA1"/>
    <w:rsid w:val="6BEB28FC"/>
    <w:rsid w:val="6C067720"/>
    <w:rsid w:val="6C4C5C41"/>
    <w:rsid w:val="6C636C38"/>
    <w:rsid w:val="6C84532B"/>
    <w:rsid w:val="6C897EAA"/>
    <w:rsid w:val="6C904861"/>
    <w:rsid w:val="6C973FBF"/>
    <w:rsid w:val="6CA25206"/>
    <w:rsid w:val="6CBB75D3"/>
    <w:rsid w:val="6CD2283E"/>
    <w:rsid w:val="6D1F34FE"/>
    <w:rsid w:val="6D242E2C"/>
    <w:rsid w:val="6D2C27DC"/>
    <w:rsid w:val="6D4813AD"/>
    <w:rsid w:val="6D6E1790"/>
    <w:rsid w:val="6D766B0F"/>
    <w:rsid w:val="6D8F5A7B"/>
    <w:rsid w:val="6D981C1F"/>
    <w:rsid w:val="6DB34098"/>
    <w:rsid w:val="6DB545B6"/>
    <w:rsid w:val="6DBA0186"/>
    <w:rsid w:val="6DE02FB4"/>
    <w:rsid w:val="6DE50BDD"/>
    <w:rsid w:val="6DE63745"/>
    <w:rsid w:val="6DFF3A4C"/>
    <w:rsid w:val="6E032E11"/>
    <w:rsid w:val="6E262897"/>
    <w:rsid w:val="6E335C9F"/>
    <w:rsid w:val="6E4909B1"/>
    <w:rsid w:val="6E514CED"/>
    <w:rsid w:val="6E5976C5"/>
    <w:rsid w:val="6E706A9B"/>
    <w:rsid w:val="6E9C74ED"/>
    <w:rsid w:val="6EA14048"/>
    <w:rsid w:val="6EB563D5"/>
    <w:rsid w:val="6EC827DB"/>
    <w:rsid w:val="6ED92677"/>
    <w:rsid w:val="6EE251B5"/>
    <w:rsid w:val="6F225983"/>
    <w:rsid w:val="6F2A3F20"/>
    <w:rsid w:val="6F367879"/>
    <w:rsid w:val="6F3A4177"/>
    <w:rsid w:val="6F407C8F"/>
    <w:rsid w:val="6F663871"/>
    <w:rsid w:val="6F67729C"/>
    <w:rsid w:val="6F98612C"/>
    <w:rsid w:val="6FD23C83"/>
    <w:rsid w:val="6FD81181"/>
    <w:rsid w:val="6FFC5590"/>
    <w:rsid w:val="70056A52"/>
    <w:rsid w:val="703637F3"/>
    <w:rsid w:val="703C0129"/>
    <w:rsid w:val="70497EBC"/>
    <w:rsid w:val="704F48B5"/>
    <w:rsid w:val="706D1DD0"/>
    <w:rsid w:val="707660D3"/>
    <w:rsid w:val="70856B87"/>
    <w:rsid w:val="70A362B9"/>
    <w:rsid w:val="70D527EE"/>
    <w:rsid w:val="70D72A5F"/>
    <w:rsid w:val="71323116"/>
    <w:rsid w:val="71451562"/>
    <w:rsid w:val="715B5300"/>
    <w:rsid w:val="719F0080"/>
    <w:rsid w:val="71B3499C"/>
    <w:rsid w:val="71CF35D0"/>
    <w:rsid w:val="71D107F8"/>
    <w:rsid w:val="71D27F8A"/>
    <w:rsid w:val="71DF5D92"/>
    <w:rsid w:val="71E73D26"/>
    <w:rsid w:val="71F17227"/>
    <w:rsid w:val="720B67AA"/>
    <w:rsid w:val="721D6A22"/>
    <w:rsid w:val="7239593C"/>
    <w:rsid w:val="72402FBC"/>
    <w:rsid w:val="724A2A04"/>
    <w:rsid w:val="72553024"/>
    <w:rsid w:val="725B4445"/>
    <w:rsid w:val="728C1627"/>
    <w:rsid w:val="72AE6DA1"/>
    <w:rsid w:val="72C539FC"/>
    <w:rsid w:val="72C963D7"/>
    <w:rsid w:val="72CF3954"/>
    <w:rsid w:val="72E2486B"/>
    <w:rsid w:val="72E32094"/>
    <w:rsid w:val="72E665B5"/>
    <w:rsid w:val="72EF00DC"/>
    <w:rsid w:val="72F30F61"/>
    <w:rsid w:val="730C2768"/>
    <w:rsid w:val="73122968"/>
    <w:rsid w:val="731B5AD6"/>
    <w:rsid w:val="731F5D5E"/>
    <w:rsid w:val="733E5E70"/>
    <w:rsid w:val="73404D45"/>
    <w:rsid w:val="7352573A"/>
    <w:rsid w:val="7369708E"/>
    <w:rsid w:val="738A5420"/>
    <w:rsid w:val="73A34A75"/>
    <w:rsid w:val="73B75316"/>
    <w:rsid w:val="73BA4C48"/>
    <w:rsid w:val="73BE3708"/>
    <w:rsid w:val="73C51AD5"/>
    <w:rsid w:val="73D320EF"/>
    <w:rsid w:val="741E793C"/>
    <w:rsid w:val="742779EC"/>
    <w:rsid w:val="743E3133"/>
    <w:rsid w:val="745E3944"/>
    <w:rsid w:val="74806BAC"/>
    <w:rsid w:val="74AE799D"/>
    <w:rsid w:val="74B17E7B"/>
    <w:rsid w:val="74B83E81"/>
    <w:rsid w:val="74E10786"/>
    <w:rsid w:val="74F36F20"/>
    <w:rsid w:val="74F42B75"/>
    <w:rsid w:val="74F55BA9"/>
    <w:rsid w:val="74FF7CDA"/>
    <w:rsid w:val="75024DE1"/>
    <w:rsid w:val="75282D0F"/>
    <w:rsid w:val="75372F32"/>
    <w:rsid w:val="75492B73"/>
    <w:rsid w:val="7595778E"/>
    <w:rsid w:val="75A316E6"/>
    <w:rsid w:val="75F55651"/>
    <w:rsid w:val="760334C1"/>
    <w:rsid w:val="761506CC"/>
    <w:rsid w:val="76341F4F"/>
    <w:rsid w:val="7635099D"/>
    <w:rsid w:val="765F4AA4"/>
    <w:rsid w:val="769B008A"/>
    <w:rsid w:val="76B34395"/>
    <w:rsid w:val="76B90851"/>
    <w:rsid w:val="76C53359"/>
    <w:rsid w:val="76F65CF7"/>
    <w:rsid w:val="77450F25"/>
    <w:rsid w:val="77622BD2"/>
    <w:rsid w:val="77762421"/>
    <w:rsid w:val="777752CC"/>
    <w:rsid w:val="777B318F"/>
    <w:rsid w:val="77A65A8F"/>
    <w:rsid w:val="77A8642E"/>
    <w:rsid w:val="77B56B1F"/>
    <w:rsid w:val="77CE582D"/>
    <w:rsid w:val="77F0546C"/>
    <w:rsid w:val="77F73F29"/>
    <w:rsid w:val="780F09F4"/>
    <w:rsid w:val="781B6721"/>
    <w:rsid w:val="78454752"/>
    <w:rsid w:val="7880290C"/>
    <w:rsid w:val="78A027B4"/>
    <w:rsid w:val="78A034E1"/>
    <w:rsid w:val="78A83BA6"/>
    <w:rsid w:val="78A90480"/>
    <w:rsid w:val="78C55892"/>
    <w:rsid w:val="78D36201"/>
    <w:rsid w:val="78D44C45"/>
    <w:rsid w:val="790754D9"/>
    <w:rsid w:val="792807E2"/>
    <w:rsid w:val="794661DA"/>
    <w:rsid w:val="7950692B"/>
    <w:rsid w:val="79687889"/>
    <w:rsid w:val="799230AC"/>
    <w:rsid w:val="79A22DB2"/>
    <w:rsid w:val="79A47F44"/>
    <w:rsid w:val="79A517E9"/>
    <w:rsid w:val="79AD5658"/>
    <w:rsid w:val="79BE1FEB"/>
    <w:rsid w:val="79C64645"/>
    <w:rsid w:val="79DE65CF"/>
    <w:rsid w:val="79F9484F"/>
    <w:rsid w:val="7A173ECC"/>
    <w:rsid w:val="7A2745DC"/>
    <w:rsid w:val="7A364017"/>
    <w:rsid w:val="7A792DD8"/>
    <w:rsid w:val="7A822D3B"/>
    <w:rsid w:val="7A8265E1"/>
    <w:rsid w:val="7AB23231"/>
    <w:rsid w:val="7ACA3DBB"/>
    <w:rsid w:val="7AE453E8"/>
    <w:rsid w:val="7B0233B0"/>
    <w:rsid w:val="7B1D739B"/>
    <w:rsid w:val="7B2326AF"/>
    <w:rsid w:val="7B3B665A"/>
    <w:rsid w:val="7B3C0524"/>
    <w:rsid w:val="7B5A7F76"/>
    <w:rsid w:val="7B6716D1"/>
    <w:rsid w:val="7B686D42"/>
    <w:rsid w:val="7B6B4D90"/>
    <w:rsid w:val="7B6D0DDD"/>
    <w:rsid w:val="7B841746"/>
    <w:rsid w:val="7B9C04FD"/>
    <w:rsid w:val="7BAA081C"/>
    <w:rsid w:val="7BB03176"/>
    <w:rsid w:val="7BB66D05"/>
    <w:rsid w:val="7BC572C7"/>
    <w:rsid w:val="7BD262DE"/>
    <w:rsid w:val="7BD90FC2"/>
    <w:rsid w:val="7C1845C6"/>
    <w:rsid w:val="7C1B48DE"/>
    <w:rsid w:val="7C2C03C1"/>
    <w:rsid w:val="7C3F3BAE"/>
    <w:rsid w:val="7C595780"/>
    <w:rsid w:val="7C5D270E"/>
    <w:rsid w:val="7C5E75B6"/>
    <w:rsid w:val="7C6C5AC7"/>
    <w:rsid w:val="7C8D4587"/>
    <w:rsid w:val="7C9B4416"/>
    <w:rsid w:val="7CC6544B"/>
    <w:rsid w:val="7CDB62F2"/>
    <w:rsid w:val="7CF05A0C"/>
    <w:rsid w:val="7CF33FCA"/>
    <w:rsid w:val="7CFE0DBC"/>
    <w:rsid w:val="7D0239FF"/>
    <w:rsid w:val="7D025D0E"/>
    <w:rsid w:val="7D04715A"/>
    <w:rsid w:val="7D343D4F"/>
    <w:rsid w:val="7D5E40CD"/>
    <w:rsid w:val="7D6B13E2"/>
    <w:rsid w:val="7D8A43F1"/>
    <w:rsid w:val="7D9740FC"/>
    <w:rsid w:val="7DA0067C"/>
    <w:rsid w:val="7DA10FD2"/>
    <w:rsid w:val="7DBA20EF"/>
    <w:rsid w:val="7DCD56F2"/>
    <w:rsid w:val="7DDF3210"/>
    <w:rsid w:val="7DE43984"/>
    <w:rsid w:val="7DF161D1"/>
    <w:rsid w:val="7E7D728A"/>
    <w:rsid w:val="7EFE16BE"/>
    <w:rsid w:val="7F001CE7"/>
    <w:rsid w:val="7F3177DE"/>
    <w:rsid w:val="7F333489"/>
    <w:rsid w:val="7F54013B"/>
    <w:rsid w:val="7F565B2D"/>
    <w:rsid w:val="7F65547E"/>
    <w:rsid w:val="7F7D2A23"/>
    <w:rsid w:val="7F8D07A6"/>
    <w:rsid w:val="7FA336D7"/>
    <w:rsid w:val="7FC65E36"/>
    <w:rsid w:val="7FE03ADB"/>
    <w:rsid w:val="7FE47E50"/>
    <w:rsid w:val="7FE62213"/>
    <w:rsid w:val="7FF473F1"/>
    <w:rsid w:val="7FF510A0"/>
    <w:rsid w:val="7FFC6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iPriority="2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91"/>
    <w:qFormat/>
    <w:locked/>
    <w:uiPriority w:val="0"/>
    <w:pPr>
      <w:keepNext/>
      <w:keepLines/>
      <w:spacing w:line="360" w:lineRule="auto"/>
      <w:outlineLvl w:val="1"/>
    </w:pPr>
    <w:rPr>
      <w:rFonts w:ascii="Arial" w:hAnsi="Arial"/>
      <w:b/>
      <w:bCs/>
      <w:sz w:val="24"/>
      <w:szCs w:val="32"/>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b/>
      <w:kern w:val="0"/>
      <w:sz w:val="27"/>
      <w:szCs w:val="27"/>
    </w:rPr>
  </w:style>
  <w:style w:type="paragraph" w:styleId="5">
    <w:name w:val="heading 4"/>
    <w:basedOn w:val="1"/>
    <w:next w:val="1"/>
    <w:qFormat/>
    <w:locked/>
    <w:uiPriority w:val="0"/>
    <w:pPr>
      <w:keepNext/>
      <w:keepLines/>
      <w:spacing w:before="280" w:after="290" w:line="374" w:lineRule="auto"/>
      <w:outlineLvl w:val="3"/>
    </w:pPr>
    <w:rPr>
      <w:rFonts w:ascii="Cambria" w:hAnsi="Cambria"/>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spacing w:line="400" w:lineRule="exact"/>
      <w:ind w:firstLine="200" w:firstLineChars="200"/>
    </w:pPr>
    <w:rPr>
      <w:sz w:val="24"/>
      <w:szCs w:val="20"/>
    </w:rPr>
  </w:style>
  <w:style w:type="paragraph" w:styleId="7">
    <w:name w:val="annotation text"/>
    <w:basedOn w:val="1"/>
    <w:link w:val="28"/>
    <w:semiHidden/>
    <w:qFormat/>
    <w:uiPriority w:val="0"/>
    <w:pPr>
      <w:jc w:val="left"/>
    </w:pPr>
    <w:rPr>
      <w:kern w:val="0"/>
      <w:sz w:val="24"/>
      <w:szCs w:val="20"/>
    </w:rPr>
  </w:style>
  <w:style w:type="paragraph" w:styleId="8">
    <w:name w:val="Body Text"/>
    <w:basedOn w:val="1"/>
    <w:link w:val="29"/>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0"/>
    <w:uiPriority w:val="0"/>
    <w:pPr>
      <w:spacing w:after="120"/>
      <w:ind w:left="420" w:leftChars="200"/>
    </w:pPr>
    <w:rPr>
      <w:kern w:val="0"/>
      <w:sz w:val="24"/>
      <w:szCs w:val="20"/>
    </w:rPr>
  </w:style>
  <w:style w:type="paragraph" w:styleId="10">
    <w:name w:val="header"/>
    <w:basedOn w:val="1"/>
    <w:next w:val="11"/>
    <w:link w:val="3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1">
    <w:name w:val="样式5"/>
    <w:basedOn w:val="12"/>
    <w:qFormat/>
    <w:uiPriority w:val="0"/>
    <w:rPr>
      <w:rFonts w:ascii="黑体" w:hAnsi="Times New Roman"/>
    </w:rPr>
  </w:style>
  <w:style w:type="paragraph" w:styleId="12">
    <w:name w:val="toc 2"/>
    <w:basedOn w:val="1"/>
    <w:next w:val="1"/>
    <w:unhideWhenUsed/>
    <w:qFormat/>
    <w:locked/>
    <w:uiPriority w:val="29"/>
    <w:pPr>
      <w:ind w:left="425"/>
    </w:pPr>
    <w:rPr>
      <w:rFonts w:ascii="Calibri" w:hAnsi="Calibri"/>
      <w:szCs w:val="21"/>
    </w:rPr>
  </w:style>
  <w:style w:type="paragraph" w:styleId="13">
    <w:name w:val="Plain Text"/>
    <w:basedOn w:val="1"/>
    <w:next w:val="1"/>
    <w:qFormat/>
    <w:locked/>
    <w:uiPriority w:val="0"/>
    <w:pPr>
      <w:spacing w:line="440" w:lineRule="exact"/>
      <w:ind w:firstLine="480" w:firstLineChars="200"/>
    </w:pPr>
    <w:rPr>
      <w:rFonts w:ascii="宋体" w:hAnsi="Plotter"/>
      <w:sz w:val="28"/>
      <w:szCs w:val="20"/>
    </w:rPr>
  </w:style>
  <w:style w:type="paragraph" w:styleId="14">
    <w:name w:val="Date"/>
    <w:basedOn w:val="1"/>
    <w:next w:val="1"/>
    <w:link w:val="32"/>
    <w:qFormat/>
    <w:uiPriority w:val="0"/>
    <w:pPr>
      <w:ind w:left="100" w:leftChars="2500"/>
    </w:pPr>
    <w:rPr>
      <w:kern w:val="0"/>
      <w:sz w:val="24"/>
      <w:szCs w:val="20"/>
    </w:rPr>
  </w:style>
  <w:style w:type="paragraph" w:styleId="15">
    <w:name w:val="Balloon Text"/>
    <w:basedOn w:val="1"/>
    <w:link w:val="33"/>
    <w:semiHidden/>
    <w:qFormat/>
    <w:uiPriority w:val="0"/>
    <w:rPr>
      <w:kern w:val="0"/>
      <w:sz w:val="18"/>
      <w:szCs w:val="20"/>
    </w:rPr>
  </w:style>
  <w:style w:type="paragraph" w:styleId="16">
    <w:name w:val="footer"/>
    <w:basedOn w:val="1"/>
    <w:link w:val="34"/>
    <w:qFormat/>
    <w:uiPriority w:val="99"/>
    <w:pPr>
      <w:tabs>
        <w:tab w:val="center" w:pos="4153"/>
        <w:tab w:val="right" w:pos="8306"/>
      </w:tabs>
      <w:snapToGrid w:val="0"/>
      <w:jc w:val="left"/>
    </w:pPr>
    <w:rPr>
      <w:kern w:val="0"/>
      <w:sz w:val="18"/>
      <w:szCs w:val="20"/>
    </w:rPr>
  </w:style>
  <w:style w:type="paragraph" w:styleId="17">
    <w:name w:val="List"/>
    <w:basedOn w:val="1"/>
    <w:next w:val="1"/>
    <w:unhideWhenUsed/>
    <w:qFormat/>
    <w:locked/>
    <w:uiPriority w:val="99"/>
    <w:pPr>
      <w:adjustRightInd w:val="0"/>
      <w:snapToGrid w:val="0"/>
      <w:spacing w:line="20" w:lineRule="atLeast"/>
      <w:jc w:val="center"/>
    </w:pPr>
    <w:rPr>
      <w:rFonts w:eastAsia="幼圆"/>
      <w:snapToGrid w:val="0"/>
      <w:sz w:val="18"/>
    </w:rPr>
  </w:style>
  <w:style w:type="paragraph" w:styleId="18">
    <w:name w:val="Body Text Indent 3"/>
    <w:basedOn w:val="1"/>
    <w:qFormat/>
    <w:locked/>
    <w:uiPriority w:val="0"/>
    <w:pPr>
      <w:spacing w:after="120"/>
      <w:ind w:left="420" w:leftChars="200"/>
    </w:pPr>
    <w:rPr>
      <w:sz w:val="16"/>
      <w:szCs w:val="16"/>
    </w:rPr>
  </w:style>
  <w:style w:type="paragraph" w:styleId="19">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36"/>
    <w:semiHidden/>
    <w:qFormat/>
    <w:uiPriority w:val="0"/>
    <w:rPr>
      <w:b/>
      <w:kern w:val="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locked/>
    <w:uiPriority w:val="0"/>
  </w:style>
  <w:style w:type="character" w:styleId="25">
    <w:name w:val="Hyperlink"/>
    <w:qFormat/>
    <w:locked/>
    <w:uiPriority w:val="0"/>
    <w:rPr>
      <w:color w:val="0000FF"/>
      <w:u w:val="single"/>
    </w:rPr>
  </w:style>
  <w:style w:type="character" w:styleId="26">
    <w:name w:val="annotation reference"/>
    <w:semiHidden/>
    <w:qFormat/>
    <w:uiPriority w:val="0"/>
    <w:rPr>
      <w:sz w:val="21"/>
    </w:rPr>
  </w:style>
  <w:style w:type="character" w:customStyle="1" w:styleId="27">
    <w:name w:val="标题 1 Char"/>
    <w:link w:val="2"/>
    <w:qFormat/>
    <w:uiPriority w:val="0"/>
    <w:rPr>
      <w:b/>
      <w:bCs/>
      <w:kern w:val="44"/>
      <w:sz w:val="44"/>
      <w:szCs w:val="44"/>
    </w:rPr>
  </w:style>
  <w:style w:type="character" w:customStyle="1" w:styleId="28">
    <w:name w:val="批注文字 Char"/>
    <w:link w:val="7"/>
    <w:qFormat/>
    <w:locked/>
    <w:uiPriority w:val="0"/>
    <w:rPr>
      <w:rFonts w:ascii="Times New Roman" w:hAnsi="Times New Roman" w:eastAsia="宋体"/>
      <w:sz w:val="24"/>
    </w:rPr>
  </w:style>
  <w:style w:type="character" w:customStyle="1" w:styleId="29">
    <w:name w:val="正文文本 Char1"/>
    <w:link w:val="8"/>
    <w:qFormat/>
    <w:uiPriority w:val="0"/>
    <w:rPr>
      <w:kern w:val="2"/>
      <w:sz w:val="21"/>
      <w:szCs w:val="24"/>
    </w:rPr>
  </w:style>
  <w:style w:type="character" w:customStyle="1" w:styleId="30">
    <w:name w:val="正文文本缩进 Char"/>
    <w:link w:val="9"/>
    <w:semiHidden/>
    <w:qFormat/>
    <w:locked/>
    <w:uiPriority w:val="0"/>
    <w:rPr>
      <w:rFonts w:ascii="Times New Roman" w:hAnsi="Times New Roman" w:eastAsia="宋体"/>
      <w:sz w:val="24"/>
    </w:rPr>
  </w:style>
  <w:style w:type="character" w:customStyle="1" w:styleId="31">
    <w:name w:val="页眉 Char"/>
    <w:link w:val="10"/>
    <w:qFormat/>
    <w:locked/>
    <w:uiPriority w:val="0"/>
    <w:rPr>
      <w:sz w:val="18"/>
    </w:rPr>
  </w:style>
  <w:style w:type="character" w:customStyle="1" w:styleId="32">
    <w:name w:val="日期 Char"/>
    <w:link w:val="14"/>
    <w:qFormat/>
    <w:locked/>
    <w:uiPriority w:val="0"/>
    <w:rPr>
      <w:rFonts w:ascii="Times New Roman" w:hAnsi="Times New Roman" w:eastAsia="宋体"/>
      <w:sz w:val="24"/>
    </w:rPr>
  </w:style>
  <w:style w:type="character" w:customStyle="1" w:styleId="33">
    <w:name w:val="批注框文本 Char"/>
    <w:link w:val="15"/>
    <w:semiHidden/>
    <w:qFormat/>
    <w:locked/>
    <w:uiPriority w:val="0"/>
    <w:rPr>
      <w:rFonts w:ascii="Times New Roman" w:hAnsi="Times New Roman" w:eastAsia="宋体"/>
      <w:sz w:val="18"/>
    </w:rPr>
  </w:style>
  <w:style w:type="character" w:customStyle="1" w:styleId="34">
    <w:name w:val="页脚 Char"/>
    <w:link w:val="16"/>
    <w:qFormat/>
    <w:locked/>
    <w:uiPriority w:val="99"/>
    <w:rPr>
      <w:sz w:val="18"/>
    </w:rPr>
  </w:style>
  <w:style w:type="character" w:customStyle="1" w:styleId="35">
    <w:name w:val="普通(网站) Char"/>
    <w:link w:val="19"/>
    <w:qFormat/>
    <w:locked/>
    <w:uiPriority w:val="0"/>
    <w:rPr>
      <w:rFonts w:ascii="宋体" w:hAnsi="宋体" w:eastAsia="宋体"/>
      <w:sz w:val="24"/>
    </w:rPr>
  </w:style>
  <w:style w:type="character" w:customStyle="1" w:styleId="36">
    <w:name w:val="批注主题 Char"/>
    <w:link w:val="20"/>
    <w:semiHidden/>
    <w:qFormat/>
    <w:locked/>
    <w:uiPriority w:val="0"/>
    <w:rPr>
      <w:rFonts w:ascii="Times New Roman" w:hAnsi="Times New Roman" w:eastAsia="宋体"/>
      <w:b/>
      <w:kern w:val="2"/>
      <w:sz w:val="24"/>
    </w:rPr>
  </w:style>
  <w:style w:type="paragraph" w:customStyle="1" w:styleId="37">
    <w:name w:val="正文文本首行缩进"/>
    <w:basedOn w:val="8"/>
    <w:qFormat/>
    <w:locked/>
    <w:uiPriority w:val="0"/>
    <w:pPr>
      <w:ind w:firstLine="420" w:firstLineChars="100"/>
    </w:pPr>
  </w:style>
  <w:style w:type="paragraph" w:customStyle="1" w:styleId="38">
    <w:name w:val="正文文本首行缩进 2"/>
    <w:basedOn w:val="9"/>
    <w:next w:val="1"/>
    <w:link w:val="39"/>
    <w:qFormat/>
    <w:locked/>
    <w:uiPriority w:val="0"/>
    <w:pPr>
      <w:ind w:firstLine="420" w:firstLineChars="200"/>
    </w:pPr>
  </w:style>
  <w:style w:type="character" w:customStyle="1" w:styleId="39">
    <w:name w:val="正文文本首行缩进 2 字符"/>
    <w:link w:val="38"/>
    <w:qFormat/>
    <w:uiPriority w:val="0"/>
    <w:rPr>
      <w:kern w:val="2"/>
      <w:sz w:val="21"/>
      <w:szCs w:val="24"/>
    </w:rPr>
  </w:style>
  <w:style w:type="paragraph" w:customStyle="1" w:styleId="40">
    <w:name w:val="Default"/>
    <w:basedOn w:val="41"/>
    <w:next w:val="38"/>
    <w:qFormat/>
    <w:uiPriority w:val="0"/>
    <w:pPr>
      <w:autoSpaceDE w:val="0"/>
      <w:autoSpaceDN w:val="0"/>
      <w:adjustRightInd w:val="0"/>
    </w:pPr>
    <w:rPr>
      <w:rFonts w:ascii="仿宋_GB2312" w:eastAsia="仿宋_GB2312" w:cs="仿宋_GB2312"/>
      <w:sz w:val="24"/>
    </w:rPr>
  </w:style>
  <w:style w:type="paragraph" w:customStyle="1" w:styleId="4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42">
    <w:name w:val="正文文本 Char"/>
    <w:qFormat/>
    <w:locked/>
    <w:uiPriority w:val="0"/>
    <w:rPr>
      <w:sz w:val="18"/>
    </w:rPr>
  </w:style>
  <w:style w:type="paragraph" w:customStyle="1" w:styleId="43">
    <w:name w:val="正文首行缩进 21"/>
    <w:basedOn w:val="9"/>
    <w:next w:val="1"/>
    <w:qFormat/>
    <w:locked/>
    <w:uiPriority w:val="99"/>
    <w:pPr>
      <w:ind w:firstLine="420" w:firstLineChars="200"/>
    </w:pPr>
    <w:rPr>
      <w:kern w:val="2"/>
      <w:sz w:val="21"/>
      <w:szCs w:val="24"/>
    </w:rPr>
  </w:style>
  <w:style w:type="character" w:customStyle="1" w:styleId="44">
    <w:name w:val="样式 宋体"/>
    <w:qFormat/>
    <w:uiPriority w:val="0"/>
    <w:rPr>
      <w:rFonts w:ascii="Times New Roman" w:hAnsi="Times New Roman" w:eastAsia="宋体"/>
      <w:sz w:val="24"/>
      <w:vertAlign w:val="baseline"/>
    </w:rPr>
  </w:style>
  <w:style w:type="character" w:customStyle="1" w:styleId="45">
    <w:name w:val="页脚 字符"/>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日期 字符"/>
    <w:semiHidden/>
    <w:qFormat/>
    <w:uiPriority w:val="0"/>
    <w:rPr>
      <w:rFonts w:ascii="Times New Roman" w:hAnsi="Times New Roman" w:eastAsia="宋体"/>
      <w:sz w:val="24"/>
    </w:rPr>
  </w:style>
  <w:style w:type="character" w:customStyle="1" w:styleId="48">
    <w:name w:val="NormalCharacter"/>
    <w:semiHidden/>
    <w:qFormat/>
    <w:uiPriority w:val="0"/>
    <w:rPr>
      <w:kern w:val="2"/>
      <w:sz w:val="21"/>
      <w:szCs w:val="22"/>
      <w:lang w:val="en-US" w:eastAsia="zh-CN" w:bidi="ar-SA"/>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批注文字 字符1"/>
    <w:semiHidden/>
    <w:qFormat/>
    <w:uiPriority w:val="0"/>
    <w:rPr>
      <w:rFonts w:ascii="Times New Roman" w:hAnsi="Times New Roman" w:eastAsia="宋体"/>
      <w:sz w:val="24"/>
    </w:rPr>
  </w:style>
  <w:style w:type="paragraph" w:customStyle="1" w:styleId="52">
    <w:name w:val="中文报告书样式"/>
    <w:basedOn w:val="1"/>
    <w:qFormat/>
    <w:uiPriority w:val="0"/>
    <w:pPr>
      <w:adjustRightInd w:val="0"/>
      <w:spacing w:line="420" w:lineRule="atLeast"/>
    </w:pPr>
    <w:rPr>
      <w:kern w:val="24"/>
      <w:szCs w:val="20"/>
    </w:rPr>
  </w:style>
  <w:style w:type="paragraph" w:customStyle="1" w:styleId="53">
    <w:name w:val="p0"/>
    <w:basedOn w:val="1"/>
    <w:qFormat/>
    <w:uiPriority w:val="0"/>
    <w:pPr>
      <w:widowControl/>
      <w:snapToGrid w:val="0"/>
      <w:spacing w:line="425" w:lineRule="atLeast"/>
    </w:pPr>
    <w:rPr>
      <w:color w:val="000000"/>
      <w:kern w:val="0"/>
    </w:rPr>
  </w:style>
  <w:style w:type="paragraph" w:styleId="54">
    <w:name w:val="No Spacing"/>
    <w:qFormat/>
    <w:uiPriority w:val="0"/>
    <w:rPr>
      <w:rFonts w:ascii="Calibri" w:hAnsi="Calibri" w:eastAsia="宋体" w:cs="Times New Roman"/>
      <w:sz w:val="22"/>
      <w:szCs w:val="22"/>
      <w:lang w:val="en-US" w:eastAsia="en-US" w:bidi="en-US"/>
    </w:rPr>
  </w:style>
  <w:style w:type="paragraph" w:customStyle="1" w:styleId="55">
    <w:name w:val="1图表标题"/>
    <w:basedOn w:val="1"/>
    <w:qFormat/>
    <w:uiPriority w:val="0"/>
    <w:pPr>
      <w:keepNext/>
      <w:keepLines/>
      <w:spacing w:line="360" w:lineRule="auto"/>
      <w:jc w:val="center"/>
      <w:outlineLvl w:val="4"/>
    </w:pPr>
    <w:rPr>
      <w:b/>
      <w:bCs/>
      <w:color w:val="000000"/>
      <w:kern w:val="0"/>
      <w:sz w:val="24"/>
      <w:szCs w:val="32"/>
    </w:rPr>
  </w:style>
  <w:style w:type="paragraph" w:customStyle="1" w:styleId="5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7">
    <w:name w:val="1正文"/>
    <w:basedOn w:val="1"/>
    <w:qFormat/>
    <w:uiPriority w:val="0"/>
    <w:pPr>
      <w:spacing w:line="360" w:lineRule="auto"/>
      <w:ind w:firstLine="200" w:firstLineChars="200"/>
    </w:pPr>
    <w:rPr>
      <w:sz w:val="24"/>
      <w:szCs w:val="22"/>
    </w:rPr>
  </w:style>
  <w:style w:type="paragraph" w:customStyle="1" w:styleId="58">
    <w:name w:val="表头"/>
    <w:basedOn w:val="8"/>
    <w:next w:val="1"/>
    <w:qFormat/>
    <w:uiPriority w:val="0"/>
    <w:pPr>
      <w:jc w:val="center"/>
    </w:pPr>
    <w:rPr>
      <w:b/>
    </w:rPr>
  </w:style>
  <w:style w:type="paragraph" w:customStyle="1" w:styleId="59">
    <w:name w:val="文"/>
    <w:qFormat/>
    <w:uiPriority w:val="0"/>
    <w:pPr>
      <w:spacing w:before="30" w:beforeLines="30" w:after="20" w:afterLines="20" w:line="420" w:lineRule="atLeast"/>
      <w:ind w:firstLine="200" w:firstLineChars="200"/>
      <w:jc w:val="both"/>
    </w:pPr>
    <w:rPr>
      <w:rFonts w:ascii="Times New Roman" w:hAnsi="Times New Roman" w:eastAsia="宋体" w:cs="Times New Roman"/>
      <w:bCs/>
      <w:sz w:val="24"/>
      <w:szCs w:val="28"/>
      <w:lang w:val="en-US" w:eastAsia="zh-CN" w:bidi="ar-SA"/>
    </w:rPr>
  </w:style>
  <w:style w:type="paragraph" w:customStyle="1" w:styleId="60">
    <w:name w:val="Char Char1 Char Char Char Char Char Char Char Char Char Char Char Char Char Char Char Char Char Char Char Char1 Char"/>
    <w:basedOn w:val="38"/>
    <w:qFormat/>
    <w:uiPriority w:val="0"/>
    <w:pPr>
      <w:widowControl/>
      <w:adjustRightInd w:val="0"/>
      <w:snapToGrid w:val="0"/>
      <w:spacing w:after="0" w:line="360" w:lineRule="auto"/>
      <w:ind w:left="0" w:leftChars="0" w:firstLine="200"/>
      <w:jc w:val="left"/>
    </w:pPr>
    <w:rPr>
      <w:rFonts w:ascii="宋体"/>
    </w:rPr>
  </w:style>
  <w:style w:type="paragraph" w:customStyle="1" w:styleId="61">
    <w:name w:val="表内容5"/>
    <w:basedOn w:val="19"/>
    <w:qFormat/>
    <w:uiPriority w:val="0"/>
    <w:pPr>
      <w:spacing w:before="0" w:beforeAutospacing="0" w:after="0" w:afterAutospacing="0"/>
      <w:jc w:val="center"/>
    </w:pPr>
    <w:rPr>
      <w:rFonts w:ascii="Times New Roman" w:hAnsi="Times New Roman"/>
      <w:sz w:val="21"/>
      <w:szCs w:val="21"/>
    </w:rPr>
  </w:style>
  <w:style w:type="paragraph" w:customStyle="1" w:styleId="62">
    <w:name w:val="缩进"/>
    <w:basedOn w:val="1"/>
    <w:qFormat/>
    <w:uiPriority w:val="0"/>
    <w:pPr>
      <w:autoSpaceDE w:val="0"/>
      <w:autoSpaceDN w:val="0"/>
      <w:adjustRightInd w:val="0"/>
      <w:spacing w:line="400" w:lineRule="atLeast"/>
      <w:ind w:firstLine="425"/>
      <w:textAlignment w:val="baseline"/>
    </w:pPr>
    <w:rPr>
      <w:kern w:val="0"/>
      <w:sz w:val="24"/>
    </w:rPr>
  </w:style>
  <w:style w:type="paragraph" w:customStyle="1" w:styleId="63">
    <w:name w:val="样式 样式 首行缩进:  1 字符 + 首行缩进:  2 字符1"/>
    <w:basedOn w:val="1"/>
    <w:qFormat/>
    <w:uiPriority w:val="0"/>
    <w:pPr>
      <w:spacing w:line="360" w:lineRule="auto"/>
      <w:ind w:firstLine="200" w:firstLineChars="200"/>
    </w:pPr>
    <w:rPr>
      <w:rFonts w:ascii="宋体" w:hAnsi="宋体" w:cs="宋体"/>
      <w:sz w:val="24"/>
    </w:rPr>
  </w:style>
  <w:style w:type="paragraph" w:customStyle="1" w:styleId="64">
    <w:name w:val="!正文"/>
    <w:basedOn w:val="1"/>
    <w:qFormat/>
    <w:uiPriority w:val="0"/>
    <w:pPr>
      <w:adjustRightInd w:val="0"/>
      <w:snapToGrid w:val="0"/>
      <w:spacing w:line="360" w:lineRule="auto"/>
      <w:ind w:firstLine="480" w:firstLineChars="200"/>
    </w:pPr>
    <w:rPr>
      <w:sz w:val="24"/>
      <w:szCs w:val="21"/>
    </w:rPr>
  </w:style>
  <w:style w:type="paragraph" w:customStyle="1" w:styleId="65">
    <w:name w:val="图表"/>
    <w:basedOn w:val="1"/>
    <w:qFormat/>
    <w:uiPriority w:val="0"/>
    <w:pPr>
      <w:adjustRightInd w:val="0"/>
      <w:snapToGrid w:val="0"/>
      <w:spacing w:line="280" w:lineRule="exact"/>
      <w:jc w:val="center"/>
    </w:pPr>
    <w:rPr>
      <w:kern w:val="0"/>
      <w:szCs w:val="20"/>
    </w:rPr>
  </w:style>
  <w:style w:type="paragraph" w:customStyle="1" w:styleId="66">
    <w:name w:val="表格文字"/>
    <w:basedOn w:val="58"/>
    <w:next w:val="1"/>
    <w:qFormat/>
    <w:uiPriority w:val="0"/>
    <w:pPr>
      <w:adjustRightInd w:val="0"/>
      <w:spacing w:line="240" w:lineRule="auto"/>
    </w:pPr>
    <w:rPr>
      <w:kern w:val="2"/>
      <w:sz w:val="21"/>
      <w:szCs w:val="21"/>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新格式表"/>
    <w:basedOn w:val="1"/>
    <w:qFormat/>
    <w:uiPriority w:val="0"/>
    <w:pPr>
      <w:adjustRightInd w:val="0"/>
      <w:snapToGrid w:val="0"/>
      <w:spacing w:line="0" w:lineRule="atLeast"/>
      <w:jc w:val="center"/>
    </w:pPr>
    <w:rPr>
      <w:color w:val="000000"/>
      <w:kern w:val="0"/>
      <w:szCs w:val="21"/>
    </w:rPr>
  </w:style>
  <w:style w:type="paragraph" w:customStyle="1" w:styleId="69">
    <w:name w:val="0正文"/>
    <w:basedOn w:val="1"/>
    <w:qFormat/>
    <w:uiPriority w:val="0"/>
  </w:style>
  <w:style w:type="paragraph" w:customStyle="1" w:styleId="70">
    <w:name w:val="样式 样式 样式 首行缩进:  1 字符 + 首行缩进:  2 字符1 + 首行缩进:  2 字符2"/>
    <w:basedOn w:val="1"/>
    <w:qFormat/>
    <w:uiPriority w:val="0"/>
    <w:pPr>
      <w:spacing w:line="360" w:lineRule="auto"/>
      <w:ind w:firstLine="480" w:firstLineChars="200"/>
    </w:pPr>
    <w:rPr>
      <w:rFonts w:ascii="宋体" w:hAnsi="宋体" w:cs="宋体"/>
      <w:sz w:val="24"/>
    </w:rPr>
  </w:style>
  <w:style w:type="paragraph" w:customStyle="1" w:styleId="71">
    <w:name w:val="正文-ls"/>
    <w:basedOn w:val="1"/>
    <w:qFormat/>
    <w:uiPriority w:val="0"/>
    <w:pPr>
      <w:spacing w:line="360" w:lineRule="auto"/>
      <w:ind w:firstLine="200" w:firstLineChars="200"/>
    </w:pPr>
    <w:rPr>
      <w:rFonts w:hAnsi="宋体" w:eastAsia="Times New Roman"/>
    </w:rPr>
  </w:style>
  <w:style w:type="paragraph" w:customStyle="1" w:styleId="72">
    <w:name w:val="列表段落"/>
    <w:basedOn w:val="1"/>
    <w:qFormat/>
    <w:uiPriority w:val="0"/>
    <w:pPr>
      <w:jc w:val="center"/>
    </w:pPr>
    <w:rPr>
      <w:bCs/>
      <w:kern w:val="0"/>
      <w:szCs w:val="20"/>
    </w:rPr>
  </w:style>
  <w:style w:type="paragraph" w:customStyle="1" w:styleId="73">
    <w:name w:val="样式1"/>
    <w:basedOn w:val="10"/>
    <w:qFormat/>
    <w:uiPriority w:val="0"/>
    <w:pPr>
      <w:pBdr>
        <w:bottom w:val="none" w:color="auto" w:sz="0" w:space="0"/>
      </w:pBdr>
      <w:jc w:val="left"/>
    </w:pPr>
    <w:rPr>
      <w:sz w:val="21"/>
      <w:szCs w:val="21"/>
    </w:rPr>
  </w:style>
  <w:style w:type="paragraph" w:customStyle="1" w:styleId="74">
    <w:name w:val="图表题"/>
    <w:basedOn w:val="1"/>
    <w:next w:val="1"/>
    <w:qFormat/>
    <w:uiPriority w:val="0"/>
    <w:pPr>
      <w:adjustRightInd w:val="0"/>
      <w:snapToGrid w:val="0"/>
      <w:spacing w:line="360" w:lineRule="auto"/>
      <w:jc w:val="center"/>
    </w:pPr>
    <w:rPr>
      <w:rFonts w:eastAsia="黑体"/>
      <w:kern w:val="0"/>
      <w:sz w:val="24"/>
      <w:szCs w:val="20"/>
    </w:rPr>
  </w:style>
  <w:style w:type="paragraph" w:customStyle="1" w:styleId="75">
    <w:name w:val="中文"/>
    <w:basedOn w:val="1"/>
    <w:qFormat/>
    <w:uiPriority w:val="0"/>
    <w:pPr>
      <w:widowControl/>
      <w:spacing w:line="360" w:lineRule="auto"/>
      <w:ind w:firstLine="200" w:firstLineChars="200"/>
    </w:pPr>
    <w:rPr>
      <w:sz w:val="28"/>
      <w:szCs w:val="20"/>
      <w:lang w:eastAsia="en-US"/>
    </w:rPr>
  </w:style>
  <w:style w:type="paragraph" w:customStyle="1" w:styleId="7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7">
    <w:name w:val="表标题"/>
    <w:basedOn w:val="1"/>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78">
    <w:name w:val="1.1.1"/>
    <w:basedOn w:val="1"/>
    <w:qFormat/>
    <w:uiPriority w:val="0"/>
    <w:rPr>
      <w:rFonts w:ascii="黑体"/>
      <w:sz w:val="24"/>
      <w:szCs w:val="20"/>
    </w:rPr>
  </w:style>
  <w:style w:type="paragraph" w:customStyle="1" w:styleId="79">
    <w:name w:val="列出段落1"/>
    <w:basedOn w:val="1"/>
    <w:qFormat/>
    <w:uiPriority w:val="0"/>
    <w:pPr>
      <w:ind w:firstLine="420" w:firstLineChars="200"/>
    </w:pPr>
    <w:rPr>
      <w:rFonts w:ascii="Calibri" w:hAnsi="Calibri"/>
      <w:szCs w:val="22"/>
    </w:rPr>
  </w:style>
  <w:style w:type="paragraph" w:customStyle="1" w:styleId="80">
    <w:name w:val="4正文"/>
    <w:basedOn w:val="1"/>
    <w:qFormat/>
    <w:uiPriority w:val="0"/>
    <w:pPr>
      <w:spacing w:line="360" w:lineRule="auto"/>
      <w:ind w:firstLine="200" w:firstLineChars="200"/>
      <w:jc w:val="left"/>
    </w:pPr>
    <w:rPr>
      <w:kern w:val="0"/>
      <w:sz w:val="24"/>
      <w:lang w:val="zh-CN"/>
    </w:rPr>
  </w:style>
  <w:style w:type="character" w:customStyle="1" w:styleId="81">
    <w:name w:val="fontstyle01"/>
    <w:qFormat/>
    <w:uiPriority w:val="0"/>
    <w:rPr>
      <w:rFonts w:hint="default" w:ascii="TT13o00" w:hAnsi="TT13o00"/>
      <w:color w:val="000000"/>
      <w:sz w:val="24"/>
      <w:szCs w:val="24"/>
    </w:rPr>
  </w:style>
  <w:style w:type="character" w:customStyle="1" w:styleId="82">
    <w:name w:val="fontstyle21"/>
    <w:qFormat/>
    <w:uiPriority w:val="0"/>
    <w:rPr>
      <w:rFonts w:hint="default" w:ascii="TT13o03" w:hAnsi="TT13o03"/>
      <w:color w:val="000000"/>
      <w:sz w:val="24"/>
      <w:szCs w:val="24"/>
    </w:rPr>
  </w:style>
  <w:style w:type="character" w:customStyle="1" w:styleId="83">
    <w:name w:val="fontstyle11"/>
    <w:qFormat/>
    <w:uiPriority w:val="0"/>
    <w:rPr>
      <w:rFonts w:hint="default" w:ascii="TT13o01" w:hAnsi="TT13o01"/>
      <w:color w:val="000000"/>
      <w:sz w:val="24"/>
      <w:szCs w:val="24"/>
    </w:rPr>
  </w:style>
  <w:style w:type="character" w:customStyle="1" w:styleId="84">
    <w:name w:val="fontstyle31"/>
    <w:qFormat/>
    <w:uiPriority w:val="0"/>
    <w:rPr>
      <w:rFonts w:hint="default" w:ascii="TT13o02" w:hAnsi="TT13o02"/>
      <w:color w:val="000000"/>
      <w:sz w:val="24"/>
      <w:szCs w:val="24"/>
    </w:rPr>
  </w:style>
  <w:style w:type="paragraph" w:customStyle="1" w:styleId="85">
    <w:name w:val="Char"/>
    <w:basedOn w:val="1"/>
    <w:qFormat/>
    <w:uiPriority w:val="0"/>
  </w:style>
  <w:style w:type="paragraph" w:customStyle="1" w:styleId="86">
    <w:name w:val="Table Paragraph"/>
    <w:basedOn w:val="1"/>
    <w:qFormat/>
    <w:uiPriority w:val="1"/>
    <w:rPr>
      <w:rFonts w:ascii="宋体" w:hAnsi="宋体" w:cs="宋体"/>
      <w:lang w:val="zh-CN" w:bidi="zh-CN"/>
    </w:rPr>
  </w:style>
  <w:style w:type="character" w:customStyle="1" w:styleId="87">
    <w:name w:val="font01"/>
    <w:qFormat/>
    <w:uiPriority w:val="0"/>
    <w:rPr>
      <w:rFonts w:hint="default" w:ascii="Tahoma" w:hAnsi="Tahoma" w:eastAsia="Tahoma" w:cs="Tahoma"/>
      <w:color w:val="000000"/>
      <w:sz w:val="22"/>
      <w:szCs w:val="22"/>
      <w:u w:val="none"/>
    </w:rPr>
  </w:style>
  <w:style w:type="paragraph" w:customStyle="1" w:styleId="88">
    <w:name w:val="表格内字体"/>
    <w:basedOn w:val="1"/>
    <w:next w:val="1"/>
    <w:qFormat/>
    <w:uiPriority w:val="0"/>
    <w:pPr>
      <w:jc w:val="center"/>
    </w:pPr>
    <w:rPr>
      <w:rFonts w:ascii="宋体" w:hAnsi="宋体"/>
      <w:szCs w:val="20"/>
    </w:rPr>
  </w:style>
  <w:style w:type="paragraph" w:customStyle="1" w:styleId="89">
    <w:name w:val="样式3"/>
    <w:basedOn w:val="1"/>
    <w:qFormat/>
    <w:uiPriority w:val="0"/>
    <w:pPr>
      <w:autoSpaceDE w:val="0"/>
      <w:autoSpaceDN w:val="0"/>
      <w:snapToGrid w:val="0"/>
      <w:spacing w:before="120" w:line="460" w:lineRule="atLeast"/>
      <w:jc w:val="center"/>
    </w:pPr>
    <w:rPr>
      <w:rFonts w:ascii="Calibri" w:hAnsi="Calibri" w:eastAsia="黑体"/>
      <w:sz w:val="28"/>
      <w:szCs w:val="21"/>
    </w:rPr>
  </w:style>
  <w:style w:type="paragraph" w:customStyle="1" w:styleId="90">
    <w:name w:val="表格文字我要的"/>
    <w:basedOn w:val="1"/>
    <w:qFormat/>
    <w:uiPriority w:val="0"/>
    <w:pPr>
      <w:jc w:val="center"/>
    </w:pPr>
    <w:rPr>
      <w:kern w:val="0"/>
      <w:szCs w:val="21"/>
    </w:rPr>
  </w:style>
  <w:style w:type="character" w:customStyle="1" w:styleId="91">
    <w:name w:val="标题 2 Char"/>
    <w:link w:val="3"/>
    <w:qFormat/>
    <w:uiPriority w:val="0"/>
    <w:rPr>
      <w:rFonts w:ascii="Arial" w:hAnsi="Arial"/>
      <w:b/>
      <w:bCs/>
      <w:kern w:val="2"/>
      <w:sz w:val="24"/>
      <w:szCs w:val="32"/>
    </w:rPr>
  </w:style>
  <w:style w:type="paragraph" w:customStyle="1" w:styleId="92">
    <w:name w:val="图标标题"/>
    <w:basedOn w:val="1"/>
    <w:qFormat/>
    <w:uiPriority w:val="0"/>
    <w:pPr>
      <w:spacing w:beforeLines="30"/>
      <w:jc w:val="center"/>
    </w:pPr>
    <w:rPr>
      <w:rFonts w:eastAsia="黑体"/>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B13D8C-C22C-43C0-8987-FE160C067F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59</Pages>
  <Words>30743</Words>
  <Characters>34639</Characters>
  <Lines>272</Lines>
  <Paragraphs>76</Paragraphs>
  <TotalTime>35</TotalTime>
  <ScaleCrop>false</ScaleCrop>
  <LinksUpToDate>false</LinksUpToDate>
  <CharactersWithSpaces>34975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2023-08-17T06:00:00Z</dcterms:created>
  <dc:creator>lhj</dc:creator>
  <cp:lastModifiedBy>张小猫</cp:lastModifiedBy>
  <cp:lastPrinted>2020-12-29T02:43:00Z</cp:lastPrinted>
  <dcterms:modified xsi:type="dcterms:W3CDTF">2023-09-04T07:46:15Z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489B0112BD0A43ED90D2A31D536B9EFD_13</vt:lpwstr>
  </property>
</Properties>
</file>